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Launch Checklist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Tick each item when it is done and evidenced</w:t>
      </w:r>
    </w:p>
    <w:p>
      <w:pPr>
        <w:pBdr>
          <w:bottom w:val="single" w:color="B8914A" w:sz="12" w:space="4"/>
        </w:pBdr>
        <w:spacing w:after="200"/>
      </w:pPr>
    </w:p>
    <w:p>
      <w:pPr>
        <w:pStyle w:val="Heading1"/>
      </w:pPr>
      <w:r>
        <w:t xml:space="preserve">Before the first permanent placement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4015"/>
        <w:gridCol w:w="803"/>
        <w:gridCol w:w="1608"/>
      </w:tblGrid>
      <w:tr>
        <w:trPr>
          <w:tblHeader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Item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Why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Client Terms Of Business reviewed by solicitor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requirement: terms agreed with clients before services (Conduct Regulations reg 16)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Candidate Terms reviewed and in use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requirement: terms agreed with candidates (reg 14)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Recruitment Privacy Notice published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requirement: UK GDPR articles 13 and 14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ICO data protection fee paid; number added to privacy notice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 for most organisations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Supabase data processing agreement accepted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requirement: UK GDPR article 28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Professional indemnity insurance in place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Commercial protection; clients often require it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Invoice template shows company name, number and registered office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Companies Act disclosure requirement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Business bank details and accountant confirmed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Getting paid and staying compliant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Website Recruitment page separate from home care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Accuracy: home care is not yet CQC registered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Operations system: own password set; Supabase token deleted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Security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First 30 days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6"/>
        <w:gridCol w:w="963"/>
        <w:gridCol w:w="1929"/>
      </w:tblGrid>
      <w:tr>
        <w:trPr>
          <w:tblHeader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Item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100 target providers researched and entered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15 tailored emails sent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3 discovery meetings held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signed client terms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10 candidates registered with consent records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file audit completed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SIC code 78109 noted for next confirmation statement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Temporary staffing readiness (do not supply yet)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6"/>
        <w:gridCol w:w="963"/>
        <w:gridCol w:w="1929"/>
      </w:tblGrid>
      <w:tr>
        <w:trPr>
          <w:tblHeader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Item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Accountant: payroll, pension, holiday pay and 13-week cash-flow advice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Insurance quotes: employment business and employers’ liability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Solicitor review of temporary drafts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Funding option agreed (for example invoice finance)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Go Live Checklist fully signed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Checklist | Version 1.1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Launch Checklist</dc:title>
  <dc:creator>Haverton Care Limited</dc:creator>
  <cp:lastModifiedBy>Un-named</cp:lastModifiedBy>
  <cp:revision>1</cp:revision>
  <dcterms:created xsi:type="dcterms:W3CDTF">2026-09-24T21:27:04.287Z</dcterms:created>
  <dcterms:modified xsi:type="dcterms:W3CDTF">2026-09-24T21:27:04.287Z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