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B8914A"/>
          <w:spacing w:val="40"/>
          <w:sz w:val="18"/>
          <w:szCs w:val="18"/>
        </w:rPr>
        <w:t xml:space="preserve">HAVERTON CARE LIMITED</w:t>
      </w:r>
    </w:p>
    <w:p>
      <w:pPr>
        <w:spacing w:after="80"/>
      </w:pPr>
      <w:r>
        <w:rPr>
          <w:b/>
          <w:bCs/>
          <w:color w:val="1B2B45"/>
          <w:sz w:val="40"/>
          <w:szCs w:val="40"/>
        </w:rPr>
        <w:t xml:space="preserve">Launch Checklist</w:t>
      </w:r>
    </w:p>
    <w:p>
      <w:pPr>
        <w:spacing w:after="160"/>
      </w:pPr>
      <w:r>
        <w:rPr>
          <w:color w:val="4A5A66"/>
          <w:sz w:val="24"/>
          <w:szCs w:val="24"/>
        </w:rPr>
        <w:t xml:space="preserve">Tick each item when it is done and evidenced</w:t>
      </w:r>
    </w:p>
    <w:p>
      <w:pPr>
        <w:pBdr>
          <w:bottom w:val="single" w:color="B8914A" w:sz="12" w:space="4"/>
        </w:pBdr>
        <w:spacing w:after="200"/>
      </w:pPr>
    </w:p>
    <w:p>
      <w:pPr>
        <w:pStyle w:val="Heading1"/>
      </w:pPr>
      <w:r>
        <w:t xml:space="preserve">Before the first permanent placement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2"/>
        <w:gridCol w:w="4015"/>
        <w:gridCol w:w="803"/>
        <w:gridCol w:w="1608"/>
      </w:tblGrid>
      <w:tr>
        <w:trPr>
          <w:tblHeader/>
        </w:trPr>
        <w:tc>
          <w:tcPr>
            <w:tcW w:type="dxa" w:w="3212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shd w:fill="F3EFE6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rPr>
                <w:b/>
                <w:bCs/>
                <w:color w:val="1B2B45"/>
              </w:rPr>
              <w:t xml:space="preserve">Item</w:t>
            </w:r>
          </w:p>
        </w:tc>
        <w:tc>
          <w:tcPr>
            <w:tcW w:type="dxa" w:w="4015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shd w:fill="F3EFE6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rPr>
                <w:b/>
                <w:bCs/>
                <w:color w:val="1B2B45"/>
              </w:rPr>
              <w:t xml:space="preserve">Why</w:t>
            </w:r>
          </w:p>
        </w:tc>
        <w:tc>
          <w:tcPr>
            <w:tcW w:type="dxa" w:w="803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shd w:fill="F3EFE6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rPr>
                <w:b/>
                <w:bCs/>
                <w:color w:val="1B2B45"/>
              </w:rPr>
              <w:t xml:space="preserve">Done</w:t>
            </w:r>
          </w:p>
        </w:tc>
        <w:tc>
          <w:tcPr>
            <w:tcW w:type="dxa" w:w="1608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shd w:fill="F3EFE6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rPr>
                <w:b/>
                <w:bCs/>
                <w:color w:val="1B2B45"/>
              </w:rPr>
              <w:t xml:space="preserve">Date</w:t>
            </w:r>
          </w:p>
        </w:tc>
      </w:tr>
      <w:tr>
        <w:trPr>
          <w:cantSplit/>
        </w:trPr>
        <w:tc>
          <w:tcPr>
            <w:tcW w:type="dxa" w:w="3212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Client Terms Of Business reviewed by solicitor</w:t>
            </w:r>
          </w:p>
        </w:tc>
        <w:tc>
          <w:tcPr>
            <w:tcW w:type="dxa" w:w="4015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Legal requirement: terms agreed with clients before services (Conduct Regulations reg 16)</w:t>
            </w:r>
          </w:p>
        </w:tc>
        <w:tc>
          <w:tcPr>
            <w:tcW w:type="dxa" w:w="803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☐</w:t>
            </w:r>
          </w:p>
        </w:tc>
        <w:tc>
          <w:tcPr>
            <w:tcW w:type="dxa" w:w="1608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/>
            </w:r>
          </w:p>
        </w:tc>
      </w:tr>
      <w:tr>
        <w:trPr>
          <w:cantSplit/>
        </w:trPr>
        <w:tc>
          <w:tcPr>
            <w:tcW w:type="dxa" w:w="3212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Candidate Terms reviewed and in use</w:t>
            </w:r>
          </w:p>
        </w:tc>
        <w:tc>
          <w:tcPr>
            <w:tcW w:type="dxa" w:w="4015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Legal requirement: terms agreed with candidates (reg 14)</w:t>
            </w:r>
          </w:p>
        </w:tc>
        <w:tc>
          <w:tcPr>
            <w:tcW w:type="dxa" w:w="803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☐</w:t>
            </w:r>
          </w:p>
        </w:tc>
        <w:tc>
          <w:tcPr>
            <w:tcW w:type="dxa" w:w="1608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/>
            </w:r>
          </w:p>
        </w:tc>
      </w:tr>
      <w:tr>
        <w:trPr>
          <w:cantSplit/>
        </w:trPr>
        <w:tc>
          <w:tcPr>
            <w:tcW w:type="dxa" w:w="3212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Recruitment Privacy Notice published</w:t>
            </w:r>
          </w:p>
        </w:tc>
        <w:tc>
          <w:tcPr>
            <w:tcW w:type="dxa" w:w="4015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Legal requirement: UK GDPR articles 13 and 14</w:t>
            </w:r>
          </w:p>
        </w:tc>
        <w:tc>
          <w:tcPr>
            <w:tcW w:type="dxa" w:w="803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☐</w:t>
            </w:r>
          </w:p>
        </w:tc>
        <w:tc>
          <w:tcPr>
            <w:tcW w:type="dxa" w:w="1608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/>
            </w:r>
          </w:p>
        </w:tc>
      </w:tr>
      <w:tr>
        <w:trPr>
          <w:cantSplit/>
        </w:trPr>
        <w:tc>
          <w:tcPr>
            <w:tcW w:type="dxa" w:w="3212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ICO data protection fee paid; number added to privacy notice</w:t>
            </w:r>
          </w:p>
        </w:tc>
        <w:tc>
          <w:tcPr>
            <w:tcW w:type="dxa" w:w="4015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Legal requirement for most organisations</w:t>
            </w:r>
          </w:p>
        </w:tc>
        <w:tc>
          <w:tcPr>
            <w:tcW w:type="dxa" w:w="803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☐</w:t>
            </w:r>
          </w:p>
        </w:tc>
        <w:tc>
          <w:tcPr>
            <w:tcW w:type="dxa" w:w="1608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/>
            </w:r>
          </w:p>
        </w:tc>
      </w:tr>
      <w:tr>
        <w:trPr>
          <w:cantSplit/>
        </w:trPr>
        <w:tc>
          <w:tcPr>
            <w:tcW w:type="dxa" w:w="3212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Supabase data processing agreement accepted</w:t>
            </w:r>
          </w:p>
        </w:tc>
        <w:tc>
          <w:tcPr>
            <w:tcW w:type="dxa" w:w="4015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Legal requirement: UK GDPR article 28</w:t>
            </w:r>
          </w:p>
        </w:tc>
        <w:tc>
          <w:tcPr>
            <w:tcW w:type="dxa" w:w="803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☐</w:t>
            </w:r>
          </w:p>
        </w:tc>
        <w:tc>
          <w:tcPr>
            <w:tcW w:type="dxa" w:w="1608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/>
            </w:r>
          </w:p>
        </w:tc>
      </w:tr>
      <w:tr>
        <w:trPr>
          <w:cantSplit/>
        </w:trPr>
        <w:tc>
          <w:tcPr>
            <w:tcW w:type="dxa" w:w="3212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Professional indemnity insurance in place</w:t>
            </w:r>
          </w:p>
        </w:tc>
        <w:tc>
          <w:tcPr>
            <w:tcW w:type="dxa" w:w="4015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Commercial protection; clients often require it</w:t>
            </w:r>
          </w:p>
        </w:tc>
        <w:tc>
          <w:tcPr>
            <w:tcW w:type="dxa" w:w="803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☐</w:t>
            </w:r>
          </w:p>
        </w:tc>
        <w:tc>
          <w:tcPr>
            <w:tcW w:type="dxa" w:w="1608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/>
            </w:r>
          </w:p>
        </w:tc>
      </w:tr>
      <w:tr>
        <w:trPr>
          <w:cantSplit/>
        </w:trPr>
        <w:tc>
          <w:tcPr>
            <w:tcW w:type="dxa" w:w="3212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Invoice template shows company name, number and registered office</w:t>
            </w:r>
          </w:p>
        </w:tc>
        <w:tc>
          <w:tcPr>
            <w:tcW w:type="dxa" w:w="4015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Companies Act disclosure requirement</w:t>
            </w:r>
          </w:p>
        </w:tc>
        <w:tc>
          <w:tcPr>
            <w:tcW w:type="dxa" w:w="803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☐</w:t>
            </w:r>
          </w:p>
        </w:tc>
        <w:tc>
          <w:tcPr>
            <w:tcW w:type="dxa" w:w="1608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/>
            </w:r>
          </w:p>
        </w:tc>
      </w:tr>
      <w:tr>
        <w:trPr>
          <w:cantSplit/>
        </w:trPr>
        <w:tc>
          <w:tcPr>
            <w:tcW w:type="dxa" w:w="3212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Business bank details and accountant confirmed</w:t>
            </w:r>
          </w:p>
        </w:tc>
        <w:tc>
          <w:tcPr>
            <w:tcW w:type="dxa" w:w="4015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Getting paid and staying compliant</w:t>
            </w:r>
          </w:p>
        </w:tc>
        <w:tc>
          <w:tcPr>
            <w:tcW w:type="dxa" w:w="803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☐</w:t>
            </w:r>
          </w:p>
        </w:tc>
        <w:tc>
          <w:tcPr>
            <w:tcW w:type="dxa" w:w="1608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/>
            </w:r>
          </w:p>
        </w:tc>
      </w:tr>
      <w:tr>
        <w:trPr>
          <w:cantSplit/>
        </w:trPr>
        <w:tc>
          <w:tcPr>
            <w:tcW w:type="dxa" w:w="3212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Website Recruitment page separate from home care</w:t>
            </w:r>
          </w:p>
        </w:tc>
        <w:tc>
          <w:tcPr>
            <w:tcW w:type="dxa" w:w="4015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Accuracy: home care is not yet CQC registered</w:t>
            </w:r>
          </w:p>
        </w:tc>
        <w:tc>
          <w:tcPr>
            <w:tcW w:type="dxa" w:w="803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☐</w:t>
            </w:r>
          </w:p>
        </w:tc>
        <w:tc>
          <w:tcPr>
            <w:tcW w:type="dxa" w:w="1608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/>
            </w:r>
          </w:p>
        </w:tc>
      </w:tr>
      <w:tr>
        <w:trPr>
          <w:cantSplit/>
        </w:trPr>
        <w:tc>
          <w:tcPr>
            <w:tcW w:type="dxa" w:w="3212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Operations system: own password set; Supabase token deleted</w:t>
            </w:r>
          </w:p>
        </w:tc>
        <w:tc>
          <w:tcPr>
            <w:tcW w:type="dxa" w:w="4015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Security</w:t>
            </w:r>
          </w:p>
        </w:tc>
        <w:tc>
          <w:tcPr>
            <w:tcW w:type="dxa" w:w="803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☐</w:t>
            </w:r>
          </w:p>
        </w:tc>
        <w:tc>
          <w:tcPr>
            <w:tcW w:type="dxa" w:w="1608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/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First 30 days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746"/>
        <w:gridCol w:w="963"/>
        <w:gridCol w:w="1929"/>
      </w:tblGrid>
      <w:tr>
        <w:trPr>
          <w:tblHeader/>
        </w:trPr>
        <w:tc>
          <w:tcPr>
            <w:tcW w:type="dxa" w:w="6746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shd w:fill="F3EFE6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rPr>
                <w:b/>
                <w:bCs/>
                <w:color w:val="1B2B45"/>
              </w:rPr>
              <w:t xml:space="preserve">Item</w:t>
            </w:r>
          </w:p>
        </w:tc>
        <w:tc>
          <w:tcPr>
            <w:tcW w:type="dxa" w:w="963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shd w:fill="F3EFE6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rPr>
                <w:b/>
                <w:bCs/>
                <w:color w:val="1B2B45"/>
              </w:rPr>
              <w:t xml:space="preserve">Done</w:t>
            </w:r>
          </w:p>
        </w:tc>
        <w:tc>
          <w:tcPr>
            <w:tcW w:type="dxa" w:w="1929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shd w:fill="F3EFE6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rPr>
                <w:b/>
                <w:bCs/>
                <w:color w:val="1B2B45"/>
              </w:rPr>
              <w:t xml:space="preserve">Date</w:t>
            </w:r>
          </w:p>
        </w:tc>
      </w:tr>
      <w:tr>
        <w:trPr>
          <w:cantSplit/>
        </w:trPr>
        <w:tc>
          <w:tcPr>
            <w:tcW w:type="dxa" w:w="6746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100 target providers researched and entered</w:t>
            </w:r>
          </w:p>
        </w:tc>
        <w:tc>
          <w:tcPr>
            <w:tcW w:type="dxa" w:w="963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☐</w:t>
            </w:r>
          </w:p>
        </w:tc>
        <w:tc>
          <w:tcPr>
            <w:tcW w:type="dxa" w:w="1929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/>
            </w:r>
          </w:p>
        </w:tc>
      </w:tr>
      <w:tr>
        <w:trPr>
          <w:cantSplit/>
        </w:trPr>
        <w:tc>
          <w:tcPr>
            <w:tcW w:type="dxa" w:w="6746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First 15 tailored emails sent</w:t>
            </w:r>
          </w:p>
        </w:tc>
        <w:tc>
          <w:tcPr>
            <w:tcW w:type="dxa" w:w="963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☐</w:t>
            </w:r>
          </w:p>
        </w:tc>
        <w:tc>
          <w:tcPr>
            <w:tcW w:type="dxa" w:w="1929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/>
            </w:r>
          </w:p>
        </w:tc>
      </w:tr>
      <w:tr>
        <w:trPr>
          <w:cantSplit/>
        </w:trPr>
        <w:tc>
          <w:tcPr>
            <w:tcW w:type="dxa" w:w="6746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First 3 discovery meetings held</w:t>
            </w:r>
          </w:p>
        </w:tc>
        <w:tc>
          <w:tcPr>
            <w:tcW w:type="dxa" w:w="963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☐</w:t>
            </w:r>
          </w:p>
        </w:tc>
        <w:tc>
          <w:tcPr>
            <w:tcW w:type="dxa" w:w="1929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/>
            </w:r>
          </w:p>
        </w:tc>
      </w:tr>
      <w:tr>
        <w:trPr>
          <w:cantSplit/>
        </w:trPr>
        <w:tc>
          <w:tcPr>
            <w:tcW w:type="dxa" w:w="6746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First signed client terms</w:t>
            </w:r>
          </w:p>
        </w:tc>
        <w:tc>
          <w:tcPr>
            <w:tcW w:type="dxa" w:w="963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☐</w:t>
            </w:r>
          </w:p>
        </w:tc>
        <w:tc>
          <w:tcPr>
            <w:tcW w:type="dxa" w:w="1929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/>
            </w:r>
          </w:p>
        </w:tc>
      </w:tr>
      <w:tr>
        <w:trPr>
          <w:cantSplit/>
        </w:trPr>
        <w:tc>
          <w:tcPr>
            <w:tcW w:type="dxa" w:w="6746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First 10 candidates registered with consent records</w:t>
            </w:r>
          </w:p>
        </w:tc>
        <w:tc>
          <w:tcPr>
            <w:tcW w:type="dxa" w:w="963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☐</w:t>
            </w:r>
          </w:p>
        </w:tc>
        <w:tc>
          <w:tcPr>
            <w:tcW w:type="dxa" w:w="1929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/>
            </w:r>
          </w:p>
        </w:tc>
      </w:tr>
      <w:tr>
        <w:trPr>
          <w:cantSplit/>
        </w:trPr>
        <w:tc>
          <w:tcPr>
            <w:tcW w:type="dxa" w:w="6746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First file audit completed</w:t>
            </w:r>
          </w:p>
        </w:tc>
        <w:tc>
          <w:tcPr>
            <w:tcW w:type="dxa" w:w="963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☐</w:t>
            </w:r>
          </w:p>
        </w:tc>
        <w:tc>
          <w:tcPr>
            <w:tcW w:type="dxa" w:w="1929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/>
            </w:r>
          </w:p>
        </w:tc>
      </w:tr>
      <w:tr>
        <w:trPr>
          <w:cantSplit/>
        </w:trPr>
        <w:tc>
          <w:tcPr>
            <w:tcW w:type="dxa" w:w="6746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SIC code 78109 noted for next confirmation statement</w:t>
            </w:r>
          </w:p>
        </w:tc>
        <w:tc>
          <w:tcPr>
            <w:tcW w:type="dxa" w:w="963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☐</w:t>
            </w:r>
          </w:p>
        </w:tc>
        <w:tc>
          <w:tcPr>
            <w:tcW w:type="dxa" w:w="1929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/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Temporary staffing readiness (do not supply yet)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746"/>
        <w:gridCol w:w="963"/>
        <w:gridCol w:w="1929"/>
      </w:tblGrid>
      <w:tr>
        <w:trPr>
          <w:tblHeader/>
        </w:trPr>
        <w:tc>
          <w:tcPr>
            <w:tcW w:type="dxa" w:w="6746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shd w:fill="F3EFE6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rPr>
                <w:b/>
                <w:bCs/>
                <w:color w:val="1B2B45"/>
              </w:rPr>
              <w:t xml:space="preserve">Item</w:t>
            </w:r>
          </w:p>
        </w:tc>
        <w:tc>
          <w:tcPr>
            <w:tcW w:type="dxa" w:w="963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shd w:fill="F3EFE6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rPr>
                <w:b/>
                <w:bCs/>
                <w:color w:val="1B2B45"/>
              </w:rPr>
              <w:t xml:space="preserve">Done</w:t>
            </w:r>
          </w:p>
        </w:tc>
        <w:tc>
          <w:tcPr>
            <w:tcW w:type="dxa" w:w="1929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shd w:fill="F3EFE6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rPr>
                <w:b/>
                <w:bCs/>
                <w:color w:val="1B2B45"/>
              </w:rPr>
              <w:t xml:space="preserve">Date</w:t>
            </w:r>
          </w:p>
        </w:tc>
      </w:tr>
      <w:tr>
        <w:trPr>
          <w:cantSplit/>
        </w:trPr>
        <w:tc>
          <w:tcPr>
            <w:tcW w:type="dxa" w:w="6746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Accountant: payroll, pension, holiday pay and 13-week cash-flow advice</w:t>
            </w:r>
          </w:p>
        </w:tc>
        <w:tc>
          <w:tcPr>
            <w:tcW w:type="dxa" w:w="963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☐</w:t>
            </w:r>
          </w:p>
        </w:tc>
        <w:tc>
          <w:tcPr>
            <w:tcW w:type="dxa" w:w="1929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/>
            </w:r>
          </w:p>
        </w:tc>
      </w:tr>
      <w:tr>
        <w:trPr>
          <w:cantSplit/>
        </w:trPr>
        <w:tc>
          <w:tcPr>
            <w:tcW w:type="dxa" w:w="6746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Insurance quotes: employment business and employers’ liability</w:t>
            </w:r>
          </w:p>
        </w:tc>
        <w:tc>
          <w:tcPr>
            <w:tcW w:type="dxa" w:w="963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☐</w:t>
            </w:r>
          </w:p>
        </w:tc>
        <w:tc>
          <w:tcPr>
            <w:tcW w:type="dxa" w:w="1929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/>
            </w:r>
          </w:p>
        </w:tc>
      </w:tr>
      <w:tr>
        <w:trPr>
          <w:cantSplit/>
        </w:trPr>
        <w:tc>
          <w:tcPr>
            <w:tcW w:type="dxa" w:w="6746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Solicitor review of temporary drafts</w:t>
            </w:r>
          </w:p>
        </w:tc>
        <w:tc>
          <w:tcPr>
            <w:tcW w:type="dxa" w:w="963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☐</w:t>
            </w:r>
          </w:p>
        </w:tc>
        <w:tc>
          <w:tcPr>
            <w:tcW w:type="dxa" w:w="1929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/>
            </w:r>
          </w:p>
        </w:tc>
      </w:tr>
      <w:tr>
        <w:trPr>
          <w:cantSplit/>
        </w:trPr>
        <w:tc>
          <w:tcPr>
            <w:tcW w:type="dxa" w:w="6746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Funding option agreed (for example invoice finance)</w:t>
            </w:r>
          </w:p>
        </w:tc>
        <w:tc>
          <w:tcPr>
            <w:tcW w:type="dxa" w:w="963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☐</w:t>
            </w:r>
          </w:p>
        </w:tc>
        <w:tc>
          <w:tcPr>
            <w:tcW w:type="dxa" w:w="1929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/>
            </w:r>
          </w:p>
        </w:tc>
      </w:tr>
      <w:tr>
        <w:trPr>
          <w:cantSplit/>
        </w:trPr>
        <w:tc>
          <w:tcPr>
            <w:tcW w:type="dxa" w:w="6746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Go Live Checklist fully signed</w:t>
            </w:r>
          </w:p>
        </w:tc>
        <w:tc>
          <w:tcPr>
            <w:tcW w:type="dxa" w:w="963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☐</w:t>
            </w:r>
          </w:p>
        </w:tc>
        <w:tc>
          <w:tcPr>
            <w:tcW w:type="dxa" w:w="1929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/>
            </w:r>
          </w:p>
        </w:tc>
      </w:tr>
    </w:tbl>
    <w:p>
      <w:pPr>
        <w:spacing w:after="120"/>
      </w:pP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A5A66"/>
        <w:sz w:val="16"/>
        <w:szCs w:val="16"/>
      </w:rPr>
      <w:t xml:space="preserve">Checklist | Version 1.0 | September 2026 | Page </w:t>
    </w:r>
    <w:r>
      <w:rPr>
        <w:color w:val="4A5A66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4A5A66"/>
        <w:sz w:val="16"/>
        <w:szCs w:val="16"/>
      </w:rPr>
      <w:t xml:space="preserve"> of </w:t>
    </w:r>
    <w:r>
      <w:rPr>
        <w:color w:val="4A5A66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4A5A66"/>
        <w:sz w:val="16"/>
        <w:szCs w:val="16"/>
      </w:rPr>
      <w:t xml:space="preserve">Haverton Care Limited | Haverton Recruitment And Staffing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160" w:before="360"/>
      <w:outlineLvl w:val="0"/>
    </w:pPr>
    <w:rPr>
      <w:rFonts w:ascii="Arial" w:cs="Arial" w:eastAsia="Arial" w:hAnsi="Arial"/>
      <w:b/>
      <w:bCs/>
      <w:color w:val="1B2B45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spacing w:after="120" w:before="260"/>
      <w:outlineLvl w:val="1"/>
    </w:pPr>
    <w:rPr>
      <w:rFonts w:ascii="Arial" w:cs="Arial" w:eastAsia="Arial" w:hAnsi="Arial"/>
      <w:b/>
      <w:bCs/>
      <w:color w:val="1B2B45"/>
      <w:sz w:val="27"/>
      <w:szCs w:val="27"/>
    </w:rPr>
  </w:style>
  <w:style w:type="paragraph" w:styleId="Heading3">
    <w:name w:val="Heading 3"/>
    <w:basedOn w:val="Normal"/>
    <w:next w:val="Normal"/>
    <w:qFormat/>
    <w:pPr>
      <w:keepNext/>
      <w:spacing w:after="100" w:before="200"/>
      <w:outlineLvl w:val="2"/>
    </w:pPr>
    <w:rPr>
      <w:rFonts w:ascii="Arial" w:cs="Arial" w:eastAsia="Arial" w:hAnsi="Arial"/>
      <w:b/>
      <w:bCs/>
      <w:color w:val="B8914A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Launch Checklist</dc:title>
  <dc:creator>Haverton Care Limited</dc:creator>
  <cp:lastModifiedBy>Un-named</cp:lastModifiedBy>
  <cp:revision>1</cp:revision>
  <dcterms:created xsi:type="dcterms:W3CDTF">2026-09-24T20:12:52.894Z</dcterms:created>
  <dcterms:modified xsi:type="dcterms:W3CDTF">2026-09-24T20:12:52.894Z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