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8914A"/>
          <w:spacing w:val="40"/>
          <w:sz w:val="18"/>
          <w:szCs w:val="18"/>
        </w:rPr>
        <w:t xml:space="preserve">HAVERTON CARE LIMITED</w:t>
      </w:r>
    </w:p>
    <w:p>
      <w:pPr>
        <w:spacing w:after="80"/>
      </w:pPr>
      <w:r>
        <w:rPr>
          <w:b/>
          <w:bCs/>
          <w:color w:val="1B2B45"/>
          <w:sz w:val="40"/>
          <w:szCs w:val="40"/>
        </w:rPr>
        <w:t xml:space="preserve">Data Protection Record</w:t>
      </w:r>
    </w:p>
    <w:p>
      <w:pPr>
        <w:spacing w:after="160"/>
      </w:pPr>
      <w:r>
        <w:rPr>
          <w:color w:val="4A5A66"/>
          <w:sz w:val="24"/>
          <w:szCs w:val="24"/>
        </w:rPr>
        <w:t xml:space="preserve">Internal record of processing, retention, lawful bases and safeguards</w:t>
      </w:r>
    </w:p>
    <w:p>
      <w:pPr>
        <w:pBdr>
          <w:bottom w:val="single" w:color="B8914A" w:sz="12" w:space="4"/>
        </w:pBd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Owner</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Director, Haverton Care Limited</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Review</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Every 12 months, or sooner if the service changes</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Version</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1.0, September 2026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914A" w:sz="4"/>
              <w:left w:val="single" w:color="B8914A" w:sz="18"/>
              <w:bottom w:val="single" w:color="B8914A" w:sz="4"/>
              <w:right w:val="single" w:color="B8914A" w:sz="4"/>
            </w:tcBorders>
            <w:shd w:fill="FBF6EA" w:color="auto" w:val="clear"/>
            <w:tcMar>
              <w:top w:type="dxa" w:w="120"/>
              <w:left w:type="dxa" w:w="180"/>
              <w:bottom w:type="dxa" w:w="120"/>
              <w:right w:type="dxa" w:w="180"/>
            </w:tcMar>
          </w:tcPr>
          <w:p>
            <w:pPr>
              <w:spacing w:after="60"/>
            </w:pPr>
            <w:r>
              <w:rPr>
                <w:b/>
                <w:bCs/>
                <w:color w:val="1B2B45"/>
              </w:rPr>
              <w:t xml:space="preserve">Why this document exists</w:t>
            </w:r>
          </w:p>
          <w:p>
            <w:pPr>
              <w:spacing w:after="60" w:line="280"/>
            </w:pPr>
            <w:r>
              <w:t xml:space="preserve">The UK GDPR expects us to be able to </w:t>
            </w:r>
            <w:r>
              <w:rPr>
                <w:b/>
                <w:bCs/>
              </w:rPr>
              <w:t xml:space="preserve">show</w:t>
            </w:r>
            <w:r>
              <w:t xml:space="preserve"> how we comply (accountability). This record, kept up to date, is that evidence. It also includes the </w:t>
            </w:r>
            <w:r>
              <w:rPr>
                <w:b/>
                <w:bCs/>
              </w:rPr>
              <w:t xml:space="preserve">Appropriate Policy Document</w:t>
            </w:r>
            <w:r>
              <w:t xml:space="preserve"> the Data Protection Act 2018 requires when we rely on Schedule 1 conditions for special category and criminal offence data.</w:t>
            </w:r>
          </w:p>
          <w:p>
            <w:pPr>
              <w:spacing w:after="60" w:line="280"/>
            </w:pPr>
            <w:r>
              <w:t xml:space="preserve">Draft for review by a solicitor or data protection adviser.</w:t>
            </w:r>
          </w:p>
        </w:tc>
      </w:tr>
    </w:tbl>
    <w:p>
      <w:pPr>
        <w:spacing w:after="160"/>
      </w:pPr>
    </w:p>
    <w:p>
      <w:pPr>
        <w:pStyle w:val="Heading1"/>
      </w:pPr>
      <w:r>
        <w:t xml:space="preserve">1. Record of processing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2224"/>
        <w:gridCol w:w="1482"/>
        <w:gridCol w:w="1482"/>
        <w:gridCol w:w="2226"/>
      </w:tblGrid>
      <w:tr>
        <w:trPr>
          <w:tblHeader/>
        </w:trPr>
        <w:tc>
          <w:tcPr>
            <w:tcW w:type="dxa" w:w="2224"/>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Activity</w:t>
            </w:r>
          </w:p>
        </w:tc>
        <w:tc>
          <w:tcPr>
            <w:tcW w:type="dxa" w:w="2224"/>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Data</w:t>
            </w:r>
          </w:p>
        </w:tc>
        <w:tc>
          <w:tcPr>
            <w:tcW w:type="dxa" w:w="1482"/>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People</w:t>
            </w:r>
          </w:p>
        </w:tc>
        <w:tc>
          <w:tcPr>
            <w:tcW w:type="dxa" w:w="1482"/>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Lawful basis</w:t>
            </w:r>
          </w:p>
        </w:tc>
        <w:tc>
          <w:tcPr>
            <w:tcW w:type="dxa" w:w="2226"/>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Where held</w:t>
            </w:r>
          </w:p>
        </w:tc>
      </w:tr>
      <w:tr>
        <w:trPr>
          <w:cantSplit/>
        </w:trPr>
        <w:tc>
          <w:tcPr>
            <w:tcW w:type="dxa" w:w="22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Candidate registration and matching</w:t>
            </w:r>
          </w:p>
        </w:tc>
        <w:tc>
          <w:tcPr>
            <w:tcW w:type="dxa" w:w="22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Contact, work history, preferences</w:t>
            </w:r>
          </w:p>
        </w:tc>
        <w:tc>
          <w:tcPr>
            <w:tcW w:type="dxa" w:w="148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Candidates</w:t>
            </w:r>
          </w:p>
        </w:tc>
        <w:tc>
          <w:tcPr>
            <w:tcW w:type="dxa" w:w="148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6(1)(b), 6(1)(f)</w:t>
            </w:r>
          </w:p>
        </w:tc>
        <w:tc>
          <w:tcPr>
            <w:tcW w:type="dxa" w:w="222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Operations system (Supabase, London)</w:t>
            </w:r>
          </w:p>
        </w:tc>
      </w:tr>
      <w:tr>
        <w:trPr>
          <w:cantSplit/>
        </w:trPr>
        <w:tc>
          <w:tcPr>
            <w:tcW w:type="dxa" w:w="22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Consent to represent</w:t>
            </w:r>
          </w:p>
        </w:tc>
        <w:tc>
          <w:tcPr>
            <w:tcW w:type="dxa" w:w="22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Role, date, scope</w:t>
            </w:r>
          </w:p>
        </w:tc>
        <w:tc>
          <w:tcPr>
            <w:tcW w:type="dxa" w:w="148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Candidates</w:t>
            </w:r>
          </w:p>
        </w:tc>
        <w:tc>
          <w:tcPr>
            <w:tcW w:type="dxa" w:w="148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6(1)(f), 6(1)(c)</w:t>
            </w:r>
          </w:p>
        </w:tc>
        <w:tc>
          <w:tcPr>
            <w:tcW w:type="dxa" w:w="222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Operations system</w:t>
            </w:r>
          </w:p>
        </w:tc>
      </w:tr>
      <w:tr>
        <w:trPr>
          <w:cantSplit/>
        </w:trPr>
        <w:tc>
          <w:tcPr>
            <w:tcW w:type="dxa" w:w="22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Checks for roles with vulnerable people</w:t>
            </w:r>
          </w:p>
        </w:tc>
        <w:tc>
          <w:tcPr>
            <w:tcW w:type="dxa" w:w="22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Qualifications, references, registration status</w:t>
            </w:r>
          </w:p>
        </w:tc>
        <w:tc>
          <w:tcPr>
            <w:tcW w:type="dxa" w:w="148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Candidates, referees</w:t>
            </w:r>
          </w:p>
        </w:tc>
        <w:tc>
          <w:tcPr>
            <w:tcW w:type="dxa" w:w="148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6(1)(c), 6(1)(f)</w:t>
            </w:r>
          </w:p>
        </w:tc>
        <w:tc>
          <w:tcPr>
            <w:tcW w:type="dxa" w:w="222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Status in system; documents in restricted folder</w:t>
            </w:r>
          </w:p>
        </w:tc>
      </w:tr>
      <w:tr>
        <w:trPr>
          <w:cantSplit/>
        </w:trPr>
        <w:tc>
          <w:tcPr>
            <w:tcW w:type="dxa" w:w="22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Right to work (where we check)</w:t>
            </w:r>
          </w:p>
        </w:tc>
        <w:tc>
          <w:tcPr>
            <w:tcW w:type="dxa" w:w="22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Check result, date, expiry</w:t>
            </w:r>
          </w:p>
        </w:tc>
        <w:tc>
          <w:tcPr>
            <w:tcW w:type="dxa" w:w="148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Candidates</w:t>
            </w:r>
          </w:p>
        </w:tc>
        <w:tc>
          <w:tcPr>
            <w:tcW w:type="dxa" w:w="148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6(1)(c)</w:t>
            </w:r>
          </w:p>
        </w:tc>
        <w:tc>
          <w:tcPr>
            <w:tcW w:type="dxa" w:w="222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Status in system; evidence in restricted folder</w:t>
            </w:r>
          </w:p>
        </w:tc>
      </w:tr>
      <w:tr>
        <w:trPr>
          <w:cantSplit/>
        </w:trPr>
        <w:tc>
          <w:tcPr>
            <w:tcW w:type="dxa" w:w="22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DBS (eligible roles only)</w:t>
            </w:r>
          </w:p>
        </w:tc>
        <w:tc>
          <w:tcPr>
            <w:tcW w:type="dxa" w:w="22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Level, outcome, risk assessment</w:t>
            </w:r>
          </w:p>
        </w:tc>
        <w:tc>
          <w:tcPr>
            <w:tcW w:type="dxa" w:w="148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Candidates</w:t>
            </w:r>
          </w:p>
        </w:tc>
        <w:tc>
          <w:tcPr>
            <w:tcW w:type="dxa" w:w="148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6(1)(c) + Sch 1 para 1 / 18</w:t>
            </w:r>
          </w:p>
        </w:tc>
        <w:tc>
          <w:tcPr>
            <w:tcW w:type="dxa" w:w="222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Restricted folder only</w:t>
            </w:r>
          </w:p>
        </w:tc>
      </w:tr>
      <w:tr>
        <w:trPr>
          <w:cantSplit/>
        </w:trPr>
        <w:tc>
          <w:tcPr>
            <w:tcW w:type="dxa" w:w="22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Client management and invoicing</w:t>
            </w:r>
          </w:p>
        </w:tc>
        <w:tc>
          <w:tcPr>
            <w:tcW w:type="dxa" w:w="22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Business contacts, terms, invoices</w:t>
            </w:r>
          </w:p>
        </w:tc>
        <w:tc>
          <w:tcPr>
            <w:tcW w:type="dxa" w:w="148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Client staff</w:t>
            </w:r>
          </w:p>
        </w:tc>
        <w:tc>
          <w:tcPr>
            <w:tcW w:type="dxa" w:w="148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6(1)(b), 6(1)(f), 6(1)(c)</w:t>
            </w:r>
          </w:p>
        </w:tc>
        <w:tc>
          <w:tcPr>
            <w:tcW w:type="dxa" w:w="222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Operations system; accounts</w:t>
            </w:r>
          </w:p>
        </w:tc>
      </w:tr>
      <w:tr>
        <w:trPr>
          <w:cantSplit/>
        </w:trPr>
        <w:tc>
          <w:tcPr>
            <w:tcW w:type="dxa" w:w="22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Marketing to clients</w:t>
            </w:r>
          </w:p>
        </w:tc>
        <w:tc>
          <w:tcPr>
            <w:tcW w:type="dxa" w:w="222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Business email, phone</w:t>
            </w:r>
          </w:p>
        </w:tc>
        <w:tc>
          <w:tcPr>
            <w:tcW w:type="dxa" w:w="148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Client staff</w:t>
            </w:r>
          </w:p>
        </w:tc>
        <w:tc>
          <w:tcPr>
            <w:tcW w:type="dxa" w:w="1482"/>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6(1)(f) (PECR rules for corporate subscribers)</w:t>
            </w:r>
          </w:p>
        </w:tc>
        <w:tc>
          <w:tcPr>
            <w:tcW w:type="dxa" w:w="222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Operations system</w:t>
            </w:r>
          </w:p>
        </w:tc>
      </w:tr>
    </w:tbl>
    <w:p>
      <w:pPr>
        <w:spacing w:after="120"/>
      </w:pPr>
    </w:p>
    <w:p>
      <w:pPr>
        <w:pStyle w:val="Heading1"/>
      </w:pPr>
      <w:r>
        <w:t xml:space="preserve">2. Retention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7"/>
        <w:gridCol w:w="1927"/>
        <w:gridCol w:w="2893"/>
      </w:tblGrid>
      <w:tr>
        <w:trPr>
          <w:tblHeader/>
        </w:trPr>
        <w:tc>
          <w:tcPr>
            <w:tcW w:type="dxa" w:w="2891"/>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Record</w:t>
            </w:r>
          </w:p>
        </w:tc>
        <w:tc>
          <w:tcPr>
            <w:tcW w:type="dxa" w:w="1927"/>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Keep for</w:t>
            </w:r>
          </w:p>
        </w:tc>
        <w:tc>
          <w:tcPr>
            <w:tcW w:type="dxa" w:w="1927"/>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Trigger</w:t>
            </w:r>
          </w:p>
        </w:tc>
        <w:tc>
          <w:tcPr>
            <w:tcW w:type="dxa" w:w="2893"/>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Then</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Unplaced candidate record</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 years</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Last meaningful contact</w:t>
            </w:r>
          </w:p>
        </w:tc>
        <w:tc>
          <w:tcPr>
            <w:tcW w:type="dxa" w:w="289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Delete, or ask candidate if they want to stay</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Conduct Regulations records (terms, hirer and candidate information)</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At least 1 year</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Creation or last use</w:t>
            </w:r>
          </w:p>
        </w:tc>
        <w:tc>
          <w:tcPr>
            <w:tcW w:type="dxa" w:w="289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Delete or keep with placement file</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Placement, fee and invoice records</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6 years</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End of tax year of placement</w:t>
            </w:r>
          </w:p>
        </w:tc>
        <w:tc>
          <w:tcPr>
            <w:tcW w:type="dxa" w:w="289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Delete</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DBS outcome and risk assessment</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6 months</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Recruitment decision</w:t>
            </w:r>
          </w:p>
        </w:tc>
        <w:tc>
          <w:tcPr>
            <w:tcW w:type="dxa" w:w="289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Delete, unless in dispute</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Unsuccessful campaign notes</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12 months</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Campaign closed</w:t>
            </w:r>
          </w:p>
        </w:tc>
        <w:tc>
          <w:tcPr>
            <w:tcW w:type="dxa" w:w="289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Delete (Equality Act claims window plus margin)</w:t>
            </w:r>
          </w:p>
        </w:tc>
      </w:tr>
      <w:tr>
        <w:trPr>
          <w:cantSplit/>
        </w:trPr>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Marketing suppression list</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Indefinitely</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Opt-out</w:t>
            </w:r>
          </w:p>
        </w:tc>
        <w:tc>
          <w:tcPr>
            <w:tcW w:type="dxa" w:w="289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Keep minimum data so we never contact again</w:t>
            </w:r>
          </w:p>
        </w:tc>
      </w:tr>
    </w:tbl>
    <w:p>
      <w:pPr>
        <w:spacing w:after="120"/>
      </w:pPr>
    </w:p>
    <w:p>
      <w:pPr>
        <w:pStyle w:val="Heading1"/>
      </w:pPr>
      <w:r>
        <w:t xml:space="preserve">3. Legitimate interests assessment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Question</w:t>
            </w:r>
          </w:p>
        </w:tc>
        <w:tc>
          <w:tcPr>
            <w:tcW w:type="dxa" w:w="6885"/>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Answer</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Purpose</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Running a recruitment service that matches people to care-sector jobs.</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Is processing necessary?</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Yes. We cannot find suitable roles without holding a candidate’s details and preferences.</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Balance</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Candidates expect an agency to hold and use their details for this purpose. We minimise data, never share identifiable details without consent, and honour objections at once. Their interests do not override ours when these safeguards are followed.</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Outcome</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Legitimate interests is appropriate for matching and keeping in touch. Review annually.</w:t>
            </w:r>
          </w:p>
        </w:tc>
      </w:tr>
    </w:tbl>
    <w:p>
      <w:pPr>
        <w:spacing w:after="120"/>
      </w:pPr>
    </w:p>
    <w:p>
      <w:pPr>
        <w:pStyle w:val="Heading1"/>
      </w:pPr>
      <w:r>
        <w:t xml:space="preserve">4. Appropriate Policy Document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Requirement</w:t>
            </w:r>
          </w:p>
        </w:tc>
        <w:tc>
          <w:tcPr>
            <w:tcW w:type="dxa" w:w="6885"/>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How we meet it</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Conditions relied on</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DPA 2018 Schedule 1 paragraphs 1 (employment), 8 (equality of opportunity) and, where applicable, 18 (safeguarding). [confirm]</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Lawfulness, fairness, transparency</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Explained in the Recruitment Privacy Notice, given at registration.</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Purpose limitation</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Used only for suitability, adjustments, safeguarding and equality monitoring.</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Minimisation</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Outcome and date only for DBS; no certificate copies; no health questions before offer except adjustments.</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Accuracy</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Checked at source (registers, online services) and updated when told.</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Storage limitation</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Retention schedule above.</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Security</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Restricted folders, individual logins, audit trail, least-privilege access.</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Review</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This document is reviewed annually and kept for 6 months after we stop the processing.</w:t>
            </w:r>
          </w:p>
        </w:tc>
      </w:tr>
    </w:tbl>
    <w:p>
      <w:pPr>
        <w:spacing w:after="120"/>
      </w:pPr>
    </w:p>
    <w:p>
      <w:pPr>
        <w:pStyle w:val="Heading1"/>
      </w:pPr>
      <w:r>
        <w:t xml:space="preserve">5. If something goes wrong (data breach)</w:t>
      </w:r>
    </w:p>
    <w:p>
      <w:pPr>
        <w:pStyle w:val="ListParagraph"/>
        <w:numPr>
          <w:ilvl w:val="0"/>
          <w:numId w:val="2"/>
        </w:numPr>
        <w:spacing w:after="80" w:line="290"/>
      </w:pPr>
      <w:r>
        <w:rPr>
          <w:b/>
          <w:bCs/>
        </w:rPr>
        <w:t xml:space="preserve">Contain it immediately</w:t>
      </w:r>
      <w:r>
        <w:t xml:space="preserve"> (recall the email, revoke access, change passwords).</w:t>
      </w:r>
    </w:p>
    <w:p>
      <w:pPr>
        <w:pStyle w:val="ListParagraph"/>
        <w:numPr>
          <w:ilvl w:val="0"/>
          <w:numId w:val="2"/>
        </w:numPr>
        <w:spacing w:after="80" w:line="290"/>
      </w:pPr>
      <w:r>
        <w:rPr>
          <w:b/>
          <w:bCs/>
        </w:rPr>
        <w:t xml:space="preserve">Record it</w:t>
      </w:r>
      <w:r>
        <w:t xml:space="preserve"> the same day: what, when, whose data, how many people, likely harm.</w:t>
      </w:r>
    </w:p>
    <w:p>
      <w:pPr>
        <w:pStyle w:val="ListParagraph"/>
        <w:numPr>
          <w:ilvl w:val="0"/>
          <w:numId w:val="2"/>
        </w:numPr>
        <w:spacing w:after="80" w:line="290"/>
      </w:pPr>
      <w:r>
        <w:rPr>
          <w:b/>
          <w:bCs/>
        </w:rPr>
        <w:t xml:space="preserve">Decide within 72 hours</w:t>
      </w:r>
      <w:r>
        <w:t xml:space="preserve"> of becoming aware whether it must be reported to the ICO (report if it is likely to result in a risk to people’s rights and freedoms).</w:t>
      </w:r>
    </w:p>
    <w:p>
      <w:pPr>
        <w:pStyle w:val="ListParagraph"/>
        <w:numPr>
          <w:ilvl w:val="0"/>
          <w:numId w:val="2"/>
        </w:numPr>
        <w:spacing w:after="80" w:line="290"/>
      </w:pPr>
      <w:r>
        <w:rPr>
          <w:b/>
          <w:bCs/>
        </w:rPr>
        <w:t xml:space="preserve">Tell the people affected</w:t>
      </w:r>
      <w:r>
        <w:t xml:space="preserve"> without undue delay if the risk to them is high.</w:t>
      </w:r>
    </w:p>
    <w:p>
      <w:pPr>
        <w:pStyle w:val="ListParagraph"/>
        <w:numPr>
          <w:ilvl w:val="0"/>
          <w:numId w:val="2"/>
        </w:numPr>
        <w:spacing w:after="80" w:line="290"/>
      </w:pPr>
      <w:r>
        <w:rPr>
          <w:b/>
          <w:bCs/>
        </w:rPr>
        <w:t xml:space="preserve">Learn from it</w:t>
      </w:r>
      <w:r>
        <w:t xml:space="preserve">: record the cause and the change you made to stop it happening again.</w:t>
      </w:r>
    </w:p>
    <w:p>
      <w:pPr>
        <w:pStyle w:val="Heading1"/>
      </w:pPr>
      <w:r>
        <w:t xml:space="preserve">6. Processors (service providers)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891"/>
        <w:gridCol w:w="1927"/>
        <w:gridCol w:w="2893"/>
      </w:tblGrid>
      <w:tr>
        <w:trPr>
          <w:tblHeader/>
        </w:trPr>
        <w:tc>
          <w:tcPr>
            <w:tcW w:type="dxa" w:w="1927"/>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Provider</w:t>
            </w:r>
          </w:p>
        </w:tc>
        <w:tc>
          <w:tcPr>
            <w:tcW w:type="dxa" w:w="2891"/>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Service</w:t>
            </w:r>
          </w:p>
        </w:tc>
        <w:tc>
          <w:tcPr>
            <w:tcW w:type="dxa" w:w="1927"/>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Location</w:t>
            </w:r>
          </w:p>
        </w:tc>
        <w:tc>
          <w:tcPr>
            <w:tcW w:type="dxa" w:w="2893"/>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Agreement in place</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Supabase</w:t>
            </w:r>
          </w:p>
        </w:tc>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Operations database and sign-in</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London, UK (eu-west-2)</w:t>
            </w:r>
          </w:p>
        </w:tc>
        <w:tc>
          <w:tcPr>
            <w:tcW w:type="dxa" w:w="289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[confirm: accept DPA in Supabase organisation settings]</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Email and file storage provider</w:t>
            </w:r>
          </w:p>
        </w:tc>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Email, restricted document folders</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[confirm]</w:t>
            </w:r>
          </w:p>
        </w:tc>
        <w:tc>
          <w:tcPr>
            <w:tcW w:type="dxa" w:w="289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[confirm]</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Accountant / payroll</w:t>
            </w:r>
          </w:p>
        </w:tc>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Accounts and invoicing</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UK</w:t>
            </w:r>
          </w:p>
        </w:tc>
        <w:tc>
          <w:tcPr>
            <w:tcW w:type="dxa" w:w="289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[confirm]</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GitHub</w:t>
            </w:r>
          </w:p>
        </w:tc>
        <w:tc>
          <w:tcPr>
            <w:tcW w:type="dxa" w:w="289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Hosts the encrypted website files only (no personal data)</w:t>
            </w:r>
          </w:p>
        </w:tc>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Global</w:t>
            </w:r>
          </w:p>
        </w:tc>
        <w:tc>
          <w:tcPr>
            <w:tcW w:type="dxa" w:w="289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Not required for personal data</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A66"/>
        <w:sz w:val="16"/>
        <w:szCs w:val="16"/>
      </w:rPr>
      <w:t xml:space="preserve">Internal | Version 1.0 | September 2026 | Page </w:t>
    </w:r>
    <w:r>
      <w:rPr>
        <w:color w:val="4A5A66"/>
        <w:sz w:val="16"/>
        <w:szCs w:val="16"/>
      </w:rPr>
      <w:fldChar w:fldCharType="begin"/>
      <w:instrText xml:space="preserve">PAGE</w:instrText>
      <w:fldChar w:fldCharType="separate"/>
      <w:fldChar w:fldCharType="end"/>
    </w:r>
    <w:r>
      <w:rPr>
        <w:color w:val="4A5A66"/>
        <w:sz w:val="16"/>
        <w:szCs w:val="16"/>
      </w:rPr>
      <w:t xml:space="preserve"> of </w:t>
    </w:r>
    <w:r>
      <w:rPr>
        <w:color w:val="4A5A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A66"/>
        <w:sz w:val="16"/>
        <w:szCs w:val="16"/>
      </w:rPr>
      <w:t xml:space="preserve">Haverton Care Limited | Haverton Recruitment And Staffing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B2B45"/>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B2B45"/>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B891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Protection Record</dc:title>
  <dc:creator>Haverton Care Limited</dc:creator>
  <cp:lastModifiedBy>Un-named</cp:lastModifiedBy>
  <cp:revision>1</cp:revision>
  <dcterms:created xsi:type="dcterms:W3CDTF">2026-09-24T20:12:53.082Z</dcterms:created>
  <dcterms:modified xsi:type="dcterms:W3CDTF">2026-09-24T20:12:53.082Z</dcterms:modified>
</cp:coreProperties>
</file>

<file path=docProps/custom.xml><?xml version="1.0" encoding="utf-8"?>
<Properties xmlns="http://schemas.openxmlformats.org/officeDocument/2006/custom-properties" xmlns:vt="http://schemas.openxmlformats.org/officeDocument/2006/docPropsVTypes"/>
</file>