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Launch Checklist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Tick each item when it is done and evidenced</w:t>
      </w:r>
    </w:p>
    <w:p>
      <w:pPr>
        <w:pBdr>
          <w:bottom w:val="single" w:color="B8914A" w:sz="12" w:space="4"/>
        </w:pBdr>
        <w:spacing w:after="200"/>
      </w:pPr>
    </w:p>
    <w:p>
      <w:pPr>
        <w:pStyle w:val="Heading1"/>
      </w:pPr>
      <w:r>
        <w:t xml:space="preserve">Before the first permanent placement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4015"/>
        <w:gridCol w:w="803"/>
        <w:gridCol w:w="1608"/>
      </w:tblGrid>
      <w:tr>
        <w:trPr>
          <w:tblHeader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Item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Why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 Terms Of Business reviewed by solicitor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Legal requirement: terms agreed with clients before services (Conduct Regulations reg 16)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 Terms reviewed and in use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Legal requirement: terms agreed with candidates (reg 14)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Recruitment Privacy Notice published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Legal requirement: UK GDPR articles 13 and 14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ICO data protection fee paid; number added to privacy notice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Legal requirement for most organisations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Supabase data processing agreement accepted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Legal requirement: UK GDPR article 28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Professional indemnity insurance in place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Commercial protection; clients often require it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Invoice template shows company name, number and registered office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Companies Act disclosure requirement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Business bank details and accountant confirmed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Getting paid and staying compliant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Website Recruitment page separate from home care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Accuracy: home care is not yet CQC registered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Operations system: own password set; Supabase token deleted</w:t>
            </w:r>
          </w:p>
        </w:tc>
        <w:tc>
          <w:tcPr>
            <w:tcW w:type="dxa" w:w="401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Security</w:t>
            </w:r>
          </w:p>
        </w:tc>
        <w:tc>
          <w:tcPr>
            <w:tcW w:type="dxa" w:w="80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60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First 30 days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963"/>
        <w:gridCol w:w="1929"/>
      </w:tblGrid>
      <w:tr>
        <w:trPr>
          <w:tblHeader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Item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100 target providers researched and entered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First 15 tailored emails sent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First 3 discovery meetings held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First signed client terms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First 10 candidates registered with consent records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First file audit completed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SIC code 78109 noted for next confirmation statement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Temporary staffing readiness (do not supply yet)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963"/>
        <w:gridCol w:w="1929"/>
      </w:tblGrid>
      <w:tr>
        <w:trPr>
          <w:tblHeader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Item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Accountant: payroll, pension, holiday pay and 13-week cash-flow advice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Insurance quotes: employment business and employers’ liability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Solicitor review of temporary drafts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Funding option agreed (for example invoice finance)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74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Go Live Checklist fully signed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Checklist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Checklist</dc:title>
  <dc:creator>Haverton Care Limited</dc:creator>
  <cp:lastModifiedBy>Un-named</cp:lastModifiedBy>
  <cp:revision>1</cp:revision>
  <dcterms:created xsi:type="dcterms:W3CDTF">2026-09-24T20:42:12.063Z</dcterms:created>
  <dcterms:modified xsi:type="dcterms:W3CDTF">2026-09-24T20:42:12.063Z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