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Candidate File Checklist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What each file must contain, and when to collect it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F6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Three rules that keep us lawful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No health questions before a job offer</w:t>
            </w:r>
            <w:r>
              <w:t xml:space="preserve">, except about adjustments for interview (Equality Act 2010, section 60).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Do not keep copies of DBS certificates.</w:t>
            </w:r>
            <w:r>
              <w:t xml:space="preserve"> Record the level, date, outcome and any risk assessment.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Bank details and payroll forms only for temporary workers we pay</w:t>
            </w:r>
            <w:r>
              <w:t xml:space="preserve">, collected at onboarding and stored outside the CRM.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Permanent candidates (we introduce; the client employs)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2514"/>
        <w:gridCol w:w="670"/>
        <w:gridCol w:w="1005"/>
        <w:gridCol w:w="1259"/>
      </w:tblGrid>
      <w:tr>
        <w:trPr>
          <w:tblHeader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Item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When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Checked by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Registration form and CV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Registration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Candidate Terms signed and privacy notice given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Registration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Interview notes and scoring sheet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Screening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Full employment history with gaps explained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submission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Consent to represent for each role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each submission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Identity seen; right to work status noted (client does statutory check)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submission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Qualifications and certificates (copies)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submission (vulnerable roles)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Two references from non-relatives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submission (vulnerable roles)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Professional registration check (NMC, HCPC, Social Work England) where relevant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submission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Driving licence and business insurance for community roles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submission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Safeguarding declaration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submission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Equality monitoring (optional, stored separately)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Any time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Temporary workers (we employ or engage and supply)</w:t>
      </w:r>
    </w:p>
    <w:p>
      <w:pPr>
        <w:spacing w:after="140" w:line="300"/>
      </w:pPr>
      <w:r>
        <w:t xml:space="preserve">Everything above, plus: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90"/>
        <w:gridCol w:w="2514"/>
        <w:gridCol w:w="670"/>
        <w:gridCol w:w="1005"/>
        <w:gridCol w:w="1259"/>
      </w:tblGrid>
      <w:tr>
        <w:trPr>
          <w:tblHeader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Item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When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Done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Date</w:t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3EFE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  <w:color w:val="1B2B45"/>
              </w:rPr>
              <w:t xml:space="preserve">Checked by</w:t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Right to work check by Haverton using the prescribed method; follow-up date set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first shift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DBS at the correct level: outcome, date and risk assessment recorded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first shift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Mandatory training evidence and competence sign-off for the role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first shift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Key Information Document issued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agreeing terms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Temporary Worker Terms signed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Before first shift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Post-offer health questionnaire (only what the role needs), stored separately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After offer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Bank details and PAYE starter information (outside the CRM)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Onboarding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Emergency contact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Onboarding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Availability record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Onboarding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Complaints and whistleblowing information given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Onboarding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419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AWR qualifying start date recorded for each assignment</w:t>
            </w:r>
          </w:p>
        </w:tc>
        <w:tc>
          <w:tcPr>
            <w:tcW w:type="dxa" w:w="2514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Each assignment</w:t>
            </w:r>
          </w:p>
        </w:tc>
        <w:tc>
          <w:tcPr>
            <w:tcW w:type="dxa" w:w="67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</w:t>
            </w:r>
          </w:p>
        </w:tc>
        <w:tc>
          <w:tcPr>
            <w:tcW w:type="dxa" w:w="100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  <w:tc>
          <w:tcPr>
            <w:tcW w:type="dxa" w:w="1259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40" w:line="300"/>
      </w:pPr>
      <w:r>
        <w:t xml:space="preserve">Record the status of each item in the Compliance register of Haverton Operations. Keep the documents themselves in restricted folders.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Checklist | Version 1.1 | September 2026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File Checklist</dc:title>
  <dc:creator>Haverton Care Limited</dc:creator>
  <cp:lastModifiedBy>Un-named</cp:lastModifiedBy>
  <cp:revision>1</cp:revision>
  <dcterms:created xsi:type="dcterms:W3CDTF">2026-09-24T20:42:30.900Z</dcterms:created>
  <dcterms:modified xsi:type="dcterms:W3CDTF">2026-09-24T20:42:30.900Z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