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Client Vacancy Brief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What we need to know before we search (Conduct Regulations, regulation 18)</w:t>
      </w:r>
    </w:p>
    <w:p>
      <w:pPr>
        <w:pBdr>
          <w:bottom w:val="single" w:color="B8914A" w:sz="12" w:space="4"/>
        </w:pBdr>
        <w:spacing w:after="200"/>
      </w:pPr>
    </w:p>
    <w:p>
      <w:pPr>
        <w:pStyle w:val="Heading1"/>
      </w:pPr>
      <w:r>
        <w:t xml:space="preserve">The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Organisation (legal name)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Service name and type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CQC location ID (if relevant) and current rating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Hiring manager and contact details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Who makes the final decision?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Terms of business signed?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   ☐ No (do not start until signed)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Job title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Why is the role open? (growth, leaver, new service, performance)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Main duties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Location and travel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Hours, shifts, on-call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Salary, benefits and any guaranteed payments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Permanent or fixed term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Permanent    ☐ Fixed term (length)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Ideal start 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Reporting line and team size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the person must have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Essential experience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Essential qualifications or registration (required by law or a professional body)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Checks needed (DBS level, right to work, driving)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Nice to have (not essential)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What must they achieve in the first 90 days?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Why did the last person leave? What will make someone stay?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Fair recruitment check</w:t>
            </w:r>
          </w:p>
          <w:p>
            <w:pPr>
              <w:spacing w:after="60" w:line="280"/>
            </w:pPr>
            <w:r>
              <w:t xml:space="preserve">Essential criteria must be genuinely needed for the job. We cannot select by age, sex, race, religion, disability or any other protected characteristic unless a lawful exception applies and is written down.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Safety and working with vulnerable people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Does the role involve working with vulnerable adults or children?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Known health and safety risks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Induction arrangements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Process and fee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Interview stages and dates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Other agencies already involved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Fee band agreed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12.5%    ☐ 15%    ☐ 17.5%    ☐ 20% or retained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Next action and 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Form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Vacancy Brief</dc:title>
  <dc:creator>Haverton Care Limited</dc:creator>
  <cp:lastModifiedBy>Un-named</cp:lastModifiedBy>
  <cp:revision>1</cp:revision>
  <dcterms:created xsi:type="dcterms:W3CDTF">2026-09-24T20:42:12.261Z</dcterms:created>
  <dcterms:modified xsi:type="dcterms:W3CDTF">2026-09-24T20:42:12.261Z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