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Placement Check In Record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Day 7, day 30, day 60 and day 90 calls with the candidate and the client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Client and role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Placement ID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2891"/>
        <w:gridCol w:w="1929"/>
      </w:tblGrid>
      <w:tr>
        <w:trPr>
          <w:tblHeader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Check in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Candidate says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Client says</w:t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Action and date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Day 7 (induction, first shifts, anything worrying?)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Day 30 (settling in, training, team fit)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Day 60 (confidence, supervision, any concerns)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Day 90 (staying? end of guarantee; referral ask)</w:t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2891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9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Still in post at 90 days?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   ☐ No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If no: reason (for learning, not blame)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Referral asked?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Testimonial asked, with written consent to use it?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If a safety concern comes up</w:t>
            </w:r>
          </w:p>
          <w:p>
            <w:pPr>
              <w:spacing w:after="60" w:line="280"/>
            </w:pPr>
            <w:r>
              <w:t xml:space="preserve">Record the facts, act at once, tell the Director, and make sure the client’s safeguarding process is followed. Never promise to keep a safeguarding concern secret.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Form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Check In Record</dc:title>
  <dc:creator>Haverton Care Limited</dc:creator>
  <cp:lastModifiedBy>Un-named</cp:lastModifiedBy>
  <cp:revision>1</cp:revision>
  <dcterms:created xsi:type="dcterms:W3CDTF">2026-09-24T20:42:12.283Z</dcterms:created>
  <dcterms:modified xsi:type="dcterms:W3CDTF">2026-09-24T20:42:12.283Z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