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Action Plan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Tick each box when done, write the date, and note where the evidence is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How to use it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Write the start date below. Day numbers count from that date. The same plan is in Haverton Operations (Action Plan page), where due dates and overdue alerts are automatic.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Start date (day 1)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Suroj Aryal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Legal requirement or good practice?</w:t>
            </w:r>
          </w:p>
          <w:p>
            <w:pPr>
              <w:spacing w:after="60" w:line="280"/>
            </w:pPr>
            <w:r>
              <w:t xml:space="preserve">Items that are a legal requirement say so in the Launch Checklist. Everything here is either needed to start lawfully or is recommended practice for a safe, well-run agency.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Week 1: Foundations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3329"/>
        <w:gridCol w:w="1927"/>
        <w:gridCol w:w="832"/>
        <w:gridCol w:w="1139"/>
        <w:gridCol w:w="1667"/>
      </w:tblGrid>
      <w:tr>
        <w:trPr>
          <w:tblHeader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Day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Deliverable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 done</w:t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kept where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 niche, roles and service area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Written service model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 permanent first, temporary readiness in parallel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Business plan agreed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Add SIC code 78109 to the Companies House action list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Note for next confirmation statement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Open or confirm the business bank account for recruitment income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Account details for invoices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Choose an accountant and a payroll provider with recruitment experience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Payroll proposal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Get 2 to 3 insurance quotes using the Insurance Broker Brief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Insurance comparison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7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Buy professional indemnity insurance (employers’ liability before any temporary worker)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Insurance certificates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 ICO fee is paid and publish the Recruitment Privacy Notice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ICO number; notice on website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Accept the Supabase data processing agreement; set own password; delete the setup token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Screenshot or note of acceptance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Publish a Recruitment page on the website, separate from home care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Live page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2: Legal And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3329"/>
        <w:gridCol w:w="1927"/>
        <w:gridCol w:w="832"/>
        <w:gridCol w:w="1139"/>
        <w:gridCol w:w="1667"/>
      </w:tblGrid>
      <w:tr>
        <w:trPr>
          <w:tblHeader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Day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Deliverable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 done</w:t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kept where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11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Solicitor review: Client Terms Of Business (permanent)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Signed-off terms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Solicitor review: Client Terms For Temporary Supply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Signed-off draft (not in use yet)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Solicitor review: Candidate Terms, Temporary Worker Terms and Key Information Document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Signed-off candidate pack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14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Adopt the Candidate File Checklist and set up restricted folders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Folder structure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Register with a DBS umbrella body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Account confirmed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16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Start using the Interview Scoring Sheet for every interview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First completed sheets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17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 safeguarding, complaints and whistleblowing procedure (SOP 17)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Procedure read and dated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3: Market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3329"/>
        <w:gridCol w:w="1927"/>
        <w:gridCol w:w="832"/>
        <w:gridCol w:w="1139"/>
        <w:gridCol w:w="1667"/>
      </w:tblGrid>
      <w:tr>
        <w:trPr>
          <w:tblHeader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Day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Deliverable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 done</w:t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kept where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18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Enter 150 local care providers in the Clients register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150 client records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19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Map decision-makers: owners, HR leads, Registered Managers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Contacts recorded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Create LinkedIn company page and update founder profile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Live pages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21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Start candidate sourcing: aim for 100 conversations this month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Candidates registered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22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Screen the first 20 candidates with consent records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20 screened candidates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23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 calling campaign: 30 conversations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Activity logged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24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Send tailored introduction emails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Emails logged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Book 5 discovery meetings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Meetings in diary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Week 4: First Business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3329"/>
        <w:gridCol w:w="1927"/>
        <w:gridCol w:w="832"/>
        <w:gridCol w:w="1139"/>
        <w:gridCol w:w="1667"/>
      </w:tblGrid>
      <w:tr>
        <w:trPr>
          <w:tblHeader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Day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Deliverable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 done</w:t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kept where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26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Win the first live permanent vacancy with signed terms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Signed terms and Vacancy Brief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27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Check temporary rates for each role in the Pricing Calculators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Rate card (not in use yet)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28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Credit-check possible temporary clients (no supply yet)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Approved client list and limits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29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Audit documents and systems; record it in the Audits register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Audit record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Review the pipeline and set the 90-day plan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Monthly report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Temporary Staffing Readiness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3329"/>
        <w:gridCol w:w="1927"/>
        <w:gridCol w:w="832"/>
        <w:gridCol w:w="1139"/>
        <w:gridCol w:w="1667"/>
      </w:tblGrid>
      <w:tr>
        <w:trPr>
          <w:tblHeader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Day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Deliverable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 done</w:t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Evidence kept where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Payroll provider set up; PAYE, pension and holiday pay tested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Test payroll run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Employers’ liability (at least £5 million) and temporary staffing cover in place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Certificates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13-week cash-flow forecast and funding (for example invoice finance) agreed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Forecast and facility letter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Credit limits, weekly invoicing, 7-day terms and stop-supply rule agreed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 credit file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75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Director signs every item in the Temp Go Live Gate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Gate showing GO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90</w:t>
            </w:r>
          </w:p>
        </w:tc>
        <w:tc>
          <w:tcPr>
            <w:tcW w:type="dxa" w:w="33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Pilot with 1 to 2 trusted clients, then audit after the first payroll</w:t>
            </w:r>
          </w:p>
        </w:tc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Pilot audit</w:t>
            </w:r>
          </w:p>
        </w:tc>
        <w:tc>
          <w:tcPr>
            <w:tcW w:type="dxa" w:w="83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13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66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Every week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2"/>
        <w:gridCol w:w="1568"/>
        <w:gridCol w:w="896"/>
        <w:gridCol w:w="896"/>
        <w:gridCol w:w="896"/>
        <w:gridCol w:w="900"/>
      </w:tblGrid>
      <w:tr>
        <w:trPr>
          <w:tblHeader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Weekly routine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Target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Wk 1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Wk 2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Wk 3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Wk 4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Research target providers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20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Tailored first emails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 to 15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Follow-up calls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 to 20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Discovery meetings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 screening conversations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 or more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Consented submissions (when real vacancies exist)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Every active record has an owner and next action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All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448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Friday review: pipeline, cash, compliance; no red item without an owner</w:t>
            </w:r>
          </w:p>
        </w:tc>
        <w:tc>
          <w:tcPr>
            <w:tcW w:type="dxa" w:w="15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Done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89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Every month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794"/>
        <w:gridCol w:w="1391"/>
        <w:gridCol w:w="2485"/>
      </w:tblGrid>
      <w:tr>
        <w:trPr>
          <w:tblHeader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Monthly check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Audit a sample of candidate and client files (record in Audits register)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Check right to work, registration and DBS follow-up dates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Review complaints, safeguarding concerns and incidents for trends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Management accounts: revenue, gross profit, cash, VAT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Export a backup from Haverton Operations (Data page)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Review this Action Plan and add next month’s actions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Every quarter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794"/>
        <w:gridCol w:w="1391"/>
        <w:gridCol w:w="2485"/>
      </w:tblGrid>
      <w:tr>
        <w:trPr>
          <w:tblHeader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Quarterly check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Check GOV.UK, ICO, Fair Work Agency and HMRC guidance for changes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Review pricing, margins and client concentration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Review the business plan targets against actual results</w:t>
            </w:r>
          </w:p>
        </w:tc>
        <w:tc>
          <w:tcPr>
            <w:tcW w:type="dxa" w:w="79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3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4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Action Plan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</dc:title>
  <dc:creator>Haverton Care Limited</dc:creator>
  <cp:lastModifiedBy>Un-named</cp:lastModifiedBy>
  <cp:revision>1</cp:revision>
  <dcterms:created xsi:type="dcterms:W3CDTF">2026-09-25T20:40:45.418Z</dcterms:created>
  <dcterms:modified xsi:type="dcterms:W3CDTF">2026-09-25T20:40:45.418Z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