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Launch Checklist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Tick each item when it is done and evidenced</w:t>
      </w:r>
    </w:p>
    <w:p>
      <w:pPr>
        <w:pBdr>
          <w:bottom w:val="single" w:color="B8914A" w:sz="12" w:space="4"/>
        </w:pBdr>
        <w:spacing w:after="200"/>
      </w:pPr>
    </w:p>
    <w:p>
      <w:pPr>
        <w:pStyle w:val="Heading1"/>
      </w:pPr>
      <w:r>
        <w:t xml:space="preserve">Before the first permanent placement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4015"/>
        <w:gridCol w:w="803"/>
        <w:gridCol w:w="1608"/>
      </w:tblGrid>
      <w:tr>
        <w:trPr>
          <w:tblHeader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Why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 Terms Of Business reviewed by solicitor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Commercial necessity: makes your fee and guarantee enforceable (no statutory rule for permanent recruitment since 2016)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Candidate Terms reviewed and in use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tell candidates the service is free (Conduct Regulations reg 13). Written worker terms are required for temporary work (reg 14)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Recruitment Privacy Notice published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UK GDPR articles 13 and 14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ICO data protection fee paid; number added to privacy notice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 for most organisations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Supabase data processing agreement accepted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UK GDPR article 28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Professional indemnity insurance in place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Commercial protection; clients often require it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Invoice template shows company name, number and registered office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Companies Act disclosure requirement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Business bank details and accountant confirmed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Getting paid and staying compliant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Website Recruitment page separate from home care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Accuracy: home care is not yet CQC registered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Operations system: own password set; Supabase token deleted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Security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First 30 days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6"/>
        <w:gridCol w:w="963"/>
        <w:gridCol w:w="1929"/>
      </w:tblGrid>
      <w:tr>
        <w:trPr>
          <w:tblHeader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100 target providers researched and entered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15 tailored emails sent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3 discovery meetings held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signed client terms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10 candidates registered with consent records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file audit completed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SIC code 78109 noted for next confirmation statement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Temporary staffing readiness (do not supply yet)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6"/>
        <w:gridCol w:w="963"/>
        <w:gridCol w:w="1929"/>
      </w:tblGrid>
      <w:tr>
        <w:trPr>
          <w:tblHeader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Accountant: payroll, pension, holiday pay and 13-week cash-flow advice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Insurance quotes: employment business and employers’ liability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Solicitor review of temporary drafts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Funding option agreed (for example invoice finance)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Go Live Checklist fully signed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Checklist | Version 1.1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Launch Checklist</dc:title>
  <dc:creator>Haverton Care Limited</dc:creator>
  <cp:lastModifiedBy>Un-named</cp:lastModifiedBy>
  <cp:revision>1</cp:revision>
  <dcterms:created xsi:type="dcterms:W3CDTF">2026-09-25T20:40:54.181Z</dcterms:created>
  <dcterms:modified xsi:type="dcterms:W3CDTF">2026-09-25T20:40:54.181Z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