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you need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7 Launch Kit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Target Providers (your local area, with manager names), Target Providers England (30,186 services by region), Target Providers Import, Candidates Import Template, Job Adverts, Recruitment Page, Temporary Staffing Cash Flow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Starting now: who to contact, adverts to post, website wording, and the cash you need for temporary staffing</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8 First Client</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This Week 20 Providers (spreadsheet), This Week Emails, First Client Playbook, Follow Ups Import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first week of calls and emails, and every step from first call to first paid invoice</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w:t>
      </w:r>
      <w:r>
        <w:rPr>
          <w:b/>
          <w:bCs/>
        </w:rPr>
        <w:t xml:space="preserve">7 Launch Kit/Target Providers Import.csv</w:t>
      </w:r>
      <w:r>
        <w:t xml:space="preserve"> into Haverton Operations (Clients, Import CSV): 442 CQC-registered services in your priority area, ready to contact.</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2026-09-25T20:40:54.139Z</dcterms:created>
  <dcterms:modified xsi:type="dcterms:W3CDTF">2026-09-25T20:40:54.139Z</dcterms:modified>
</cp:coreProperties>
</file>

<file path=docProps/custom.xml><?xml version="1.0" encoding="utf-8"?>
<Properties xmlns="http://schemas.openxmlformats.org/officeDocument/2006/custom-properties" xmlns:vt="http://schemas.openxmlformats.org/officeDocument/2006/docPropsVTypes"/>
</file>