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82728"/>
          <w:sz w:val="24"/>
        </w:rPr>
        <w:t>Deloitte</w:t>
      </w:r>
      <w:r>
        <w:rPr>
          <w:b/>
          <w:color w:val="86BC25"/>
          <w:sz w:val="24"/>
        </w:rPr>
        <w:t>.</w:t>
      </w:r>
    </w:p>
    <w:p>
      <w:pPr>
        <w:spacing w:after="0"/>
        <w:jc w:val="left"/>
      </w:pPr>
      <w:r>
        <w:rPr>
          <w:b/>
          <w:color w:val="282728"/>
          <w:sz w:val="56"/>
        </w:rPr>
        <w:t xml:space="preserve">Virtual </w:t>
      </w:r>
      <w:r>
        <w:rPr>
          <w:b/>
          <w:i/>
          <w:color w:val="6F9E1F"/>
          <w:sz w:val="56"/>
        </w:rPr>
        <w:t>Engineer</w:t>
      </w:r>
    </w:p>
    <w:p>
      <w:pPr>
        <w:pBdr>
          <w:bottom w:val="single" w:sz="18" w:space="1" w:color="86BC25"/>
        </w:pBdr>
        <w:spacing w:after="200"/>
      </w:pPr>
      <w:r>
        <w:rPr>
          <w:color w:val="5B6470"/>
          <w:sz w:val="25"/>
        </w:rPr>
        <w:t>From idea to working product — a step-by-step account for the leadership team</w:t>
      </w:r>
    </w:p>
    <w:p>
      <w:r>
        <w:rPr>
          <w:color w:val="5B6470"/>
          <w:sz w:val="19"/>
        </w:rPr>
        <w:t>June 2026  ·  Built with Claude Code</w:t>
      </w:r>
    </w:p>
    <w:p>
      <w:pPr>
        <w:spacing w:before="320" w:after="80"/>
      </w:pPr>
      <w:r>
        <w:rPr>
          <w:b/>
          <w:color w:val="6F9E1F"/>
          <w:sz w:val="30"/>
        </w:rPr>
        <w:t>Executive overview</w:t>
      </w:r>
    </w:p>
    <w:p>
      <w:pPr>
        <w:spacing w:after="120"/>
      </w:pPr>
      <w:r>
        <w:rPr>
          <w:i w:val="0"/>
          <w:color w:val="282728"/>
        </w:rPr>
        <w:t>In a matter of days, we built Virtual Engineer — an AI-powered incident-diagnosis copilot that helps L2/L3 engineers diagnose complex incidents in seconds instead of hours. It correlates incidents, changes, and problems across the ITSM estate and uses Claude to generate evidence-backed root-cause analysis, change-impact assessment, similar-incident guidance, and portfolio hotspots.</w:t>
      </w:r>
    </w:p>
    <w:p>
      <w:pPr>
        <w:spacing w:after="120"/>
      </w:pPr>
      <w:r>
        <w:rPr>
          <w:i w:val="0"/>
          <w:color w:val="282728"/>
        </w:rPr>
        <w:t>The entire solution — code, data layer, branded interface, and documentation — was designed and built conversationally using Claude Code, on a standard locked-down corporate laptop, with no special infrastructure.</w:t>
      </w:r>
    </w:p>
    <w:p>
      <w:pPr>
        <w:spacing w:before="320" w:after="80"/>
      </w:pPr>
      <w:r>
        <w:rPr>
          <w:b/>
          <w:color w:val="6F9E1F"/>
          <w:sz w:val="30"/>
        </w:rPr>
        <w:t>How we got here, step by step</w:t>
      </w:r>
    </w:p>
    <w:p>
      <w:pPr>
        <w:spacing w:before="140" w:after="20"/>
      </w:pPr>
      <w:r>
        <w:rPr>
          <w:b/>
          <w:color w:val="282728"/>
        </w:rPr>
        <w:t>Step 1 — Set up a working environment on a locked-down machine.</w:t>
      </w:r>
    </w:p>
    <w:p>
      <w:pPr>
        <w:spacing w:after="20"/>
      </w:pPr>
      <w:r>
        <w:rPr>
          <w:i w:val="0"/>
          <w:color w:val="282728"/>
        </w:rPr>
        <w:t>Software installs are blocked by policy, so we used a portable, no-install toolchain.</w:t>
      </w:r>
    </w:p>
    <w:p>
      <w:pPr>
        <w:spacing w:after="80"/>
      </w:pPr>
      <w:r>
        <w:rPr>
          <w:i/>
          <w:color w:val="6F9E1F"/>
        </w:rPr>
        <w:t>Outcome: A fully working development setup with zero admin rights or exceptions.</w:t>
      </w:r>
    </w:p>
    <w:p>
      <w:pPr>
        <w:spacing w:before="140" w:after="20"/>
      </w:pPr>
      <w:r>
        <w:rPr>
          <w:b/>
          <w:color w:val="282728"/>
        </w:rPr>
        <w:t>Step 2 — Stood up source control.</w:t>
      </w:r>
    </w:p>
    <w:p>
      <w:pPr>
        <w:spacing w:after="20"/>
      </w:pPr>
      <w:r>
        <w:rPr>
          <w:i w:val="0"/>
          <w:color w:val="282728"/>
        </w:rPr>
        <w:t>We versioned every change locally, then migrated the project to a public GitHub repository.</w:t>
      </w:r>
    </w:p>
    <w:p>
      <w:pPr>
        <w:spacing w:after="80"/>
      </w:pPr>
      <w:r>
        <w:rPr>
          <w:i/>
          <w:color w:val="6F9E1F"/>
        </w:rPr>
        <w:t>Outcome: Every step is tracked, reviewable, and shareable.</w:t>
      </w:r>
    </w:p>
    <w:p>
      <w:pPr>
        <w:spacing w:before="140" w:after="20"/>
      </w:pPr>
      <w:r>
        <w:rPr>
          <w:b/>
          <w:color w:val="282728"/>
        </w:rPr>
        <w:t>Step 3 — Built the first working app.</w:t>
      </w:r>
    </w:p>
    <w:p>
      <w:pPr>
        <w:spacing w:after="20"/>
      </w:pPr>
      <w:r>
        <w:rPr>
          <w:i w:val="0"/>
          <w:color w:val="282728"/>
        </w:rPr>
        <w:t>A small, fast web application — the first Virtual Engineer — running entirely offline.</w:t>
      </w:r>
    </w:p>
    <w:p>
      <w:pPr>
        <w:spacing w:after="80"/>
      </w:pPr>
      <w:r>
        <w:rPr>
          <w:i/>
          <w:color w:val="6F9E1F"/>
        </w:rPr>
        <w:t>Outcome: A running product on day one, proving the approach.</w:t>
      </w:r>
    </w:p>
    <w:p>
      <w:pPr>
        <w:spacing w:before="140" w:after="20"/>
      </w:pPr>
      <w:r>
        <w:rPr>
          <w:b/>
          <w:color w:val="282728"/>
        </w:rPr>
        <w:t>Step 4 — Added document analysis.</w:t>
      </w:r>
    </w:p>
    <w:p>
      <w:pPr>
        <w:spacing w:after="20"/>
      </w:pPr>
      <w:r>
        <w:rPr>
          <w:i w:val="0"/>
          <w:color w:val="282728"/>
        </w:rPr>
        <w:t>The ability to read PDFs, Word, Excel, PowerPoint, CSVs, and images and surface issues, requests, and trends.</w:t>
      </w:r>
    </w:p>
    <w:p>
      <w:pPr>
        <w:spacing w:after="80"/>
      </w:pPr>
      <w:r>
        <w:rPr>
          <w:i/>
          <w:color w:val="6F9E1F"/>
        </w:rPr>
        <w:t>Outcome: Turned unstructured files into structured insight.</w:t>
      </w:r>
    </w:p>
    <w:p>
      <w:pPr>
        <w:spacing w:before="140" w:after="20"/>
      </w:pPr>
      <w:r>
        <w:rPr>
          <w:b/>
          <w:color w:val="282728"/>
        </w:rPr>
        <w:t>Step 5 — Connected real AI (Claude).</w:t>
      </w:r>
    </w:p>
    <w:p>
      <w:pPr>
        <w:spacing w:after="20"/>
      </w:pPr>
      <w:r>
        <w:rPr>
          <w:i w:val="0"/>
          <w:color w:val="282728"/>
        </w:rPr>
        <w:t>We wired in the Claude API, including reading images, with an automatic fallback so the app never breaks.</w:t>
      </w:r>
    </w:p>
    <w:p>
      <w:pPr>
        <w:spacing w:after="80"/>
      </w:pPr>
      <w:r>
        <w:rPr>
          <w:i/>
          <w:color w:val="6F9E1F"/>
        </w:rPr>
        <w:t>Outcome: Genuine, context-aware analysis — not canned responses.</w:t>
      </w:r>
    </w:p>
    <w:p>
      <w:pPr>
        <w:spacing w:before="140" w:after="20"/>
      </w:pPr>
      <w:r>
        <w:rPr>
          <w:b/>
          <w:color w:val="282728"/>
        </w:rPr>
        <w:t>Step 6 — Focused it on incident diagnosis (the core mission).</w:t>
      </w:r>
    </w:p>
    <w:p>
      <w:pPr>
        <w:spacing w:after="20"/>
      </w:pPr>
      <w:r>
        <w:rPr>
          <w:i w:val="0"/>
          <w:color w:val="282728"/>
        </w:rPr>
        <w:t>We loaded ServiceNow ITSM data — tens of thousands of incidents, changes, problems, and tasks — into a fast, searchable database, correlated by the affected system.</w:t>
      </w:r>
    </w:p>
    <w:p>
      <w:pPr>
        <w:spacing w:after="80"/>
      </w:pPr>
      <w:r>
        <w:rPr>
          <w:i/>
          <w:color w:val="6F9E1F"/>
        </w:rPr>
        <w:t>Outcome: A single, queryable view across data that normally lives in separate screens.</w:t>
      </w:r>
    </w:p>
    <w:p>
      <w:pPr>
        <w:spacing w:before="140" w:after="20"/>
      </w:pPr>
      <w:r>
        <w:rPr>
          <w:b/>
          <w:color w:val="282728"/>
        </w:rPr>
        <w:t>Step 7 — Built four expert capabilities.</w:t>
      </w:r>
    </w:p>
    <w:p>
      <w:pPr>
        <w:spacing w:after="20"/>
      </w:pPr>
      <w:r>
        <w:rPr>
          <w:i w:val="0"/>
          <w:color w:val="282728"/>
        </w:rPr>
        <w:t>Root Cause, Change Impact, Similar Incidents, and Hotspots &amp; Trends — each pairing precise correlation with Claude's reasoning.</w:t>
      </w:r>
    </w:p>
    <w:p>
      <w:pPr>
        <w:spacing w:after="80"/>
      </w:pPr>
      <w:r>
        <w:rPr>
          <w:i/>
          <w:color w:val="6F9E1F"/>
        </w:rPr>
        <w:t>Outcome: Senior-engineer judgement, available to everyone, in seconds.</w:t>
      </w:r>
    </w:p>
    <w:p>
      <w:pPr>
        <w:spacing w:before="140" w:after="20"/>
      </w:pPr>
      <w:r>
        <w:rPr>
          <w:b/>
          <w:color w:val="282728"/>
        </w:rPr>
        <w:t>Step 8 — Made it modular and reusable.</w:t>
      </w:r>
    </w:p>
    <w:p>
      <w:pPr>
        <w:spacing w:after="20"/>
      </w:pPr>
      <w:r>
        <w:rPr>
          <w:i w:val="0"/>
          <w:color w:val="282728"/>
        </w:rPr>
        <w:t>Pluggable data sources (a ready live ServiceNow connector) and a bring-your-own-data mode where uploaded files stay private to the session.</w:t>
      </w:r>
    </w:p>
    <w:p>
      <w:pPr>
        <w:spacing w:after="80"/>
      </w:pPr>
      <w:r>
        <w:rPr>
          <w:i/>
          <w:color w:val="6F9E1F"/>
        </w:rPr>
        <w:t>Outcome: Useful to any team, not just ours.</w:t>
      </w:r>
    </w:p>
    <w:p>
      <w:pPr>
        <w:spacing w:before="140" w:after="20"/>
      </w:pPr>
      <w:r>
        <w:rPr>
          <w:b/>
          <w:color w:val="282728"/>
        </w:rPr>
        <w:t>Step 9 — Made it professional and on-brand.</w:t>
      </w:r>
    </w:p>
    <w:p>
      <w:pPr>
        <w:spacing w:after="20"/>
      </w:pPr>
      <w:r>
        <w:rPr>
          <w:i w:val="0"/>
          <w:color w:val="282728"/>
        </w:rPr>
        <w:t>Redesigned to the official Deloitte brand and consolidated onto one clean workspace, with grouped navigation, colour-coded charts, and result cards that each end with a clear Conclusion.</w:t>
      </w:r>
    </w:p>
    <w:p>
      <w:pPr>
        <w:spacing w:after="80"/>
      </w:pPr>
      <w:r>
        <w:rPr>
          <w:i/>
          <w:color w:val="6F9E1F"/>
        </w:rPr>
        <w:t>Outcome: An executive-ready, polished product.</w:t>
      </w:r>
    </w:p>
    <w:p>
      <w:pPr>
        <w:spacing w:before="140" w:after="20"/>
      </w:pPr>
      <w:r>
        <w:rPr>
          <w:b/>
          <w:color w:val="282728"/>
        </w:rPr>
        <w:t>Step 10 — Made it safe to share, and easy to demo.</w:t>
      </w:r>
    </w:p>
    <w:p>
      <w:pPr>
        <w:spacing w:after="20"/>
      </w:pPr>
      <w:r>
        <w:rPr>
          <w:i w:val="0"/>
          <w:color w:val="282728"/>
        </w:rPr>
        <w:t>Added a synthetic demo dataset so anyone can run the app immediately, while real data and credentials stay private and are never published; plus a one-command demo mode and deployment-ready config.</w:t>
      </w:r>
    </w:p>
    <w:p>
      <w:pPr>
        <w:spacing w:after="80"/>
      </w:pPr>
      <w:r>
        <w:rPr>
          <w:i/>
          <w:color w:val="6F9E1F"/>
        </w:rPr>
        <w:t>Outcome: Shareable with confidence, with no data-governance risk.</w:t>
      </w:r>
    </w:p>
    <w:p>
      <w:pPr>
        <w:spacing w:before="140" w:after="20"/>
      </w:pPr>
      <w:r>
        <w:rPr>
          <w:b/>
          <w:color w:val="282728"/>
        </w:rPr>
        <w:t>Step 11 — Prepared leadership materials.</w:t>
      </w:r>
    </w:p>
    <w:p>
      <w:pPr>
        <w:spacing w:after="20"/>
      </w:pPr>
      <w:r>
        <w:rPr>
          <w:i w:val="0"/>
          <w:color w:val="282728"/>
        </w:rPr>
        <w:t>A project summary, a recording-ready demo script with speaking notes, a one-minute talk track, and this document.</w:t>
      </w:r>
    </w:p>
    <w:p>
      <w:pPr>
        <w:spacing w:after="80"/>
      </w:pPr>
      <w:r>
        <w:rPr>
          <w:i/>
          <w:color w:val="6F9E1F"/>
        </w:rPr>
        <w:t>Outcome: Ready to present and socialise.</w:t>
      </w:r>
    </w:p>
    <w:p>
      <w:pPr>
        <w:spacing w:before="320" w:after="80"/>
      </w:pPr>
      <w:r>
        <w:rPr>
          <w:b/>
          <w:color w:val="6F9E1F"/>
          <w:sz w:val="30"/>
        </w:rP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0"/>
            <w:shd w:val="clear" w:color="auto" w:fill="86BC25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00"/>
            <w:shd w:val="clear" w:color="auto" w:fill="86BC2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400"/>
            <w:shd w:val="clear" w:color="auto" w:fill="86BC25"/>
          </w:tcPr>
          <w:p>
            <w:r>
              <w:rPr>
                <w:b/>
                <w:color w:val="FFFFFF"/>
                <w:sz w:val="20"/>
              </w:rPr>
              <w:t>What it delivered</w:t>
            </w:r>
          </w:p>
        </w:tc>
      </w:tr>
      <w:tr>
        <w:tc>
          <w:tcPr>
            <w:tcW w:type="dxa" w:w="560"/>
          </w:tcPr>
          <w:p>
            <w:r>
              <w:rPr>
                <w:color w:val="282728"/>
                <w:sz w:val="20"/>
              </w:rPr>
              <w:t>1</w:t>
            </w:r>
          </w:p>
        </w:tc>
        <w:tc>
          <w:tcPr>
            <w:tcW w:type="dxa" w:w="3000"/>
          </w:tcPr>
          <w:p>
            <w:r>
              <w:rPr>
                <w:color w:val="282728"/>
                <w:sz w:val="20"/>
              </w:rPr>
              <w:t>Environment setup</w:t>
            </w:r>
          </w:p>
        </w:tc>
        <w:tc>
          <w:tcPr>
            <w:tcW w:type="dxa" w:w="5400"/>
          </w:tcPr>
          <w:p>
            <w:r>
              <w:rPr>
                <w:color w:val="282728"/>
                <w:sz w:val="20"/>
              </w:rPr>
              <w:t>Working dev setup, no admin rights</w:t>
            </w:r>
          </w:p>
        </w:tc>
      </w:tr>
      <w:tr>
        <w:tc>
          <w:tcPr>
            <w:tcW w:type="dxa" w:w="560"/>
            <w:shd w:val="clear" w:color="auto" w:fill="F2F5EC"/>
          </w:tcPr>
          <w:p>
            <w:r>
              <w:rPr>
                <w:color w:val="282728"/>
                <w:sz w:val="20"/>
              </w:rPr>
              <w:t>2</w:t>
            </w:r>
          </w:p>
        </w:tc>
        <w:tc>
          <w:tcPr>
            <w:tcW w:type="dxa" w:w="3000"/>
            <w:shd w:val="clear" w:color="auto" w:fill="F2F5EC"/>
          </w:tcPr>
          <w:p>
            <w:r>
              <w:rPr>
                <w:color w:val="282728"/>
                <w:sz w:val="20"/>
              </w:rPr>
              <w:t>Source control</w:t>
            </w:r>
          </w:p>
        </w:tc>
        <w:tc>
          <w:tcPr>
            <w:tcW w:type="dxa" w:w="5400"/>
            <w:shd w:val="clear" w:color="auto" w:fill="F2F5EC"/>
          </w:tcPr>
          <w:p>
            <w:r>
              <w:rPr>
                <w:color w:val="282728"/>
                <w:sz w:val="20"/>
              </w:rPr>
              <w:t>Tracked, shareable, public GitHub repo</w:t>
            </w:r>
          </w:p>
        </w:tc>
      </w:tr>
      <w:tr>
        <w:tc>
          <w:tcPr>
            <w:tcW w:type="dxa" w:w="560"/>
          </w:tcPr>
          <w:p>
            <w:r>
              <w:rPr>
                <w:color w:val="282728"/>
                <w:sz w:val="20"/>
              </w:rPr>
              <w:t>3</w:t>
            </w:r>
          </w:p>
        </w:tc>
        <w:tc>
          <w:tcPr>
            <w:tcW w:type="dxa" w:w="3000"/>
          </w:tcPr>
          <w:p>
            <w:r>
              <w:rPr>
                <w:color w:val="282728"/>
                <w:sz w:val="20"/>
              </w:rPr>
              <w:t>First app</w:t>
            </w:r>
          </w:p>
        </w:tc>
        <w:tc>
          <w:tcPr>
            <w:tcW w:type="dxa" w:w="5400"/>
          </w:tcPr>
          <w:p>
            <w:r>
              <w:rPr>
                <w:color w:val="282728"/>
                <w:sz w:val="20"/>
              </w:rPr>
              <w:t>Running product on day one</w:t>
            </w:r>
          </w:p>
        </w:tc>
      </w:tr>
      <w:tr>
        <w:tc>
          <w:tcPr>
            <w:tcW w:type="dxa" w:w="560"/>
            <w:shd w:val="clear" w:color="auto" w:fill="F2F5EC"/>
          </w:tcPr>
          <w:p>
            <w:r>
              <w:rPr>
                <w:color w:val="282728"/>
                <w:sz w:val="20"/>
              </w:rPr>
              <w:t>4</w:t>
            </w:r>
          </w:p>
        </w:tc>
        <w:tc>
          <w:tcPr>
            <w:tcW w:type="dxa" w:w="3000"/>
            <w:shd w:val="clear" w:color="auto" w:fill="F2F5EC"/>
          </w:tcPr>
          <w:p>
            <w:r>
              <w:rPr>
                <w:color w:val="282728"/>
                <w:sz w:val="20"/>
              </w:rPr>
              <w:t>Document analysis</w:t>
            </w:r>
          </w:p>
        </w:tc>
        <w:tc>
          <w:tcPr>
            <w:tcW w:type="dxa" w:w="5400"/>
            <w:shd w:val="clear" w:color="auto" w:fill="F2F5EC"/>
          </w:tcPr>
          <w:p>
            <w:r>
              <w:rPr>
                <w:color w:val="282728"/>
                <w:sz w:val="20"/>
              </w:rPr>
              <w:t>Insight from unstructured files</w:t>
            </w:r>
          </w:p>
        </w:tc>
      </w:tr>
      <w:tr>
        <w:tc>
          <w:tcPr>
            <w:tcW w:type="dxa" w:w="560"/>
          </w:tcPr>
          <w:p>
            <w:r>
              <w:rPr>
                <w:color w:val="282728"/>
                <w:sz w:val="20"/>
              </w:rPr>
              <w:t>5</w:t>
            </w:r>
          </w:p>
        </w:tc>
        <w:tc>
          <w:tcPr>
            <w:tcW w:type="dxa" w:w="3000"/>
          </w:tcPr>
          <w:p>
            <w:r>
              <w:rPr>
                <w:color w:val="282728"/>
                <w:sz w:val="20"/>
              </w:rPr>
              <w:t>Real Claude AI</w:t>
            </w:r>
          </w:p>
        </w:tc>
        <w:tc>
          <w:tcPr>
            <w:tcW w:type="dxa" w:w="5400"/>
          </w:tcPr>
          <w:p>
            <w:r>
              <w:rPr>
                <w:color w:val="282728"/>
                <w:sz w:val="20"/>
              </w:rPr>
              <w:t>Genuine, context-aware analysis</w:t>
            </w:r>
          </w:p>
        </w:tc>
      </w:tr>
      <w:tr>
        <w:tc>
          <w:tcPr>
            <w:tcW w:type="dxa" w:w="560"/>
            <w:shd w:val="clear" w:color="auto" w:fill="F2F5EC"/>
          </w:tcPr>
          <w:p>
            <w:r>
              <w:rPr>
                <w:color w:val="282728"/>
                <w:sz w:val="20"/>
              </w:rPr>
              <w:t>6</w:t>
            </w:r>
          </w:p>
        </w:tc>
        <w:tc>
          <w:tcPr>
            <w:tcW w:type="dxa" w:w="3000"/>
            <w:shd w:val="clear" w:color="auto" w:fill="F2F5EC"/>
          </w:tcPr>
          <w:p>
            <w:r>
              <w:rPr>
                <w:color w:val="282728"/>
                <w:sz w:val="20"/>
              </w:rPr>
              <w:t>ITSM data layer</w:t>
            </w:r>
          </w:p>
        </w:tc>
        <w:tc>
          <w:tcPr>
            <w:tcW w:type="dxa" w:w="5400"/>
            <w:shd w:val="clear" w:color="auto" w:fill="F2F5EC"/>
          </w:tcPr>
          <w:p>
            <w:r>
              <w:rPr>
                <w:color w:val="282728"/>
                <w:sz w:val="20"/>
              </w:rPr>
              <w:t>One correlated view across the estate</w:t>
            </w:r>
          </w:p>
        </w:tc>
      </w:tr>
      <w:tr>
        <w:tc>
          <w:tcPr>
            <w:tcW w:type="dxa" w:w="560"/>
          </w:tcPr>
          <w:p>
            <w:r>
              <w:rPr>
                <w:color w:val="282728"/>
                <w:sz w:val="20"/>
              </w:rPr>
              <w:t>7</w:t>
            </w:r>
          </w:p>
        </w:tc>
        <w:tc>
          <w:tcPr>
            <w:tcW w:type="dxa" w:w="3000"/>
          </w:tcPr>
          <w:p>
            <w:r>
              <w:rPr>
                <w:color w:val="282728"/>
                <w:sz w:val="20"/>
              </w:rPr>
              <w:t>Four capabilities</w:t>
            </w:r>
          </w:p>
        </w:tc>
        <w:tc>
          <w:tcPr>
            <w:tcW w:type="dxa" w:w="5400"/>
          </w:tcPr>
          <w:p>
            <w:r>
              <w:rPr>
                <w:color w:val="282728"/>
                <w:sz w:val="20"/>
              </w:rPr>
              <w:t>RCA, change impact, similar, hotspots</w:t>
            </w:r>
          </w:p>
        </w:tc>
      </w:tr>
      <w:tr>
        <w:tc>
          <w:tcPr>
            <w:tcW w:type="dxa" w:w="560"/>
            <w:shd w:val="clear" w:color="auto" w:fill="F2F5EC"/>
          </w:tcPr>
          <w:p>
            <w:r>
              <w:rPr>
                <w:color w:val="282728"/>
                <w:sz w:val="20"/>
              </w:rPr>
              <w:t>8</w:t>
            </w:r>
          </w:p>
        </w:tc>
        <w:tc>
          <w:tcPr>
            <w:tcW w:type="dxa" w:w="3000"/>
            <w:shd w:val="clear" w:color="auto" w:fill="F2F5EC"/>
          </w:tcPr>
          <w:p>
            <w:r>
              <w:rPr>
                <w:color w:val="282728"/>
                <w:sz w:val="20"/>
              </w:rPr>
              <w:t>Modular + uploads</w:t>
            </w:r>
          </w:p>
        </w:tc>
        <w:tc>
          <w:tcPr>
            <w:tcW w:type="dxa" w:w="5400"/>
            <w:shd w:val="clear" w:color="auto" w:fill="F2F5EC"/>
          </w:tcPr>
          <w:p>
            <w:r>
              <w:rPr>
                <w:color w:val="282728"/>
                <w:sz w:val="20"/>
              </w:rPr>
              <w:t>Reusable by any team, private per session</w:t>
            </w:r>
          </w:p>
        </w:tc>
      </w:tr>
      <w:tr>
        <w:tc>
          <w:tcPr>
            <w:tcW w:type="dxa" w:w="560"/>
          </w:tcPr>
          <w:p>
            <w:r>
              <w:rPr>
                <w:color w:val="282728"/>
                <w:sz w:val="20"/>
              </w:rPr>
              <w:t>9</w:t>
            </w:r>
          </w:p>
        </w:tc>
        <w:tc>
          <w:tcPr>
            <w:tcW w:type="dxa" w:w="3000"/>
          </w:tcPr>
          <w:p>
            <w:r>
              <w:rPr>
                <w:color w:val="282728"/>
                <w:sz w:val="20"/>
              </w:rPr>
              <w:t>Deloitte redesign</w:t>
            </w:r>
          </w:p>
        </w:tc>
        <w:tc>
          <w:tcPr>
            <w:tcW w:type="dxa" w:w="5400"/>
          </w:tcPr>
          <w:p>
            <w:r>
              <w:rPr>
                <w:color w:val="282728"/>
                <w:sz w:val="20"/>
              </w:rPr>
              <w:t>Executive-ready, on-brand interface</w:t>
            </w:r>
          </w:p>
        </w:tc>
      </w:tr>
      <w:tr>
        <w:tc>
          <w:tcPr>
            <w:tcW w:type="dxa" w:w="560"/>
            <w:shd w:val="clear" w:color="auto" w:fill="F2F5EC"/>
          </w:tcPr>
          <w:p>
            <w:r>
              <w:rPr>
                <w:color w:val="282728"/>
                <w:sz w:val="20"/>
              </w:rPr>
              <w:t>10</w:t>
            </w:r>
          </w:p>
        </w:tc>
        <w:tc>
          <w:tcPr>
            <w:tcW w:type="dxa" w:w="3000"/>
            <w:shd w:val="clear" w:color="auto" w:fill="F2F5EC"/>
          </w:tcPr>
          <w:p>
            <w:r>
              <w:rPr>
                <w:color w:val="282728"/>
                <w:sz w:val="20"/>
              </w:rPr>
              <w:t>Safe to share</w:t>
            </w:r>
          </w:p>
        </w:tc>
        <w:tc>
          <w:tcPr>
            <w:tcW w:type="dxa" w:w="5400"/>
            <w:shd w:val="clear" w:color="auto" w:fill="F2F5EC"/>
          </w:tcPr>
          <w:p>
            <w:r>
              <w:rPr>
                <w:color w:val="282728"/>
                <w:sz w:val="20"/>
              </w:rPr>
              <w:t>Demo data public; real data kept private</w:t>
            </w:r>
          </w:p>
        </w:tc>
      </w:tr>
      <w:tr>
        <w:tc>
          <w:tcPr>
            <w:tcW w:type="dxa" w:w="560"/>
          </w:tcPr>
          <w:p>
            <w:r>
              <w:rPr>
                <w:color w:val="282728"/>
                <w:sz w:val="20"/>
              </w:rPr>
              <w:t>11</w:t>
            </w:r>
          </w:p>
        </w:tc>
        <w:tc>
          <w:tcPr>
            <w:tcW w:type="dxa" w:w="3000"/>
          </w:tcPr>
          <w:p>
            <w:r>
              <w:rPr>
                <w:color w:val="282728"/>
                <w:sz w:val="20"/>
              </w:rPr>
              <w:t>Leadership materials</w:t>
            </w:r>
          </w:p>
        </w:tc>
        <w:tc>
          <w:tcPr>
            <w:tcW w:type="dxa" w:w="5400"/>
          </w:tcPr>
          <w:p>
            <w:r>
              <w:rPr>
                <w:color w:val="282728"/>
                <w:sz w:val="20"/>
              </w:rPr>
              <w:t>Summary, demo script, talk track</w:t>
            </w:r>
          </w:p>
        </w:tc>
      </w:tr>
    </w:tbl>
    <w:p>
      <w:pPr>
        <w:spacing w:before="320" w:after="80"/>
      </w:pPr>
      <w:r>
        <w:rPr>
          <w:b/>
          <w:color w:val="6F9E1F"/>
          <w:sz w:val="30"/>
        </w:rPr>
        <w:t>The value it produces</w:t>
      </w:r>
    </w:p>
    <w:p>
      <w:pPr>
        <w:pStyle w:val="ListBullet"/>
      </w:pPr>
      <w:r>
        <w:rPr>
          <w:color w:val="282728"/>
        </w:rPr>
        <w:t>Speed — incident root cause goes from hours of manual cross-referencing to seconds, with the evidence cited.</w:t>
      </w:r>
    </w:p>
    <w:p>
      <w:pPr>
        <w:pStyle w:val="ListBullet"/>
      </w:pPr>
      <w:r>
        <w:rPr>
          <w:color w:val="282728"/>
        </w:rPr>
        <w:t>Scale — captures and reuses senior-engineer judgement, so every engineer operates at a higher level.</w:t>
      </w:r>
    </w:p>
    <w:p>
      <w:pPr>
        <w:pStyle w:val="ListBullet"/>
      </w:pPr>
      <w:r>
        <w:rPr>
          <w:color w:val="282728"/>
        </w:rPr>
        <w:t>Prevention — flags change-induced incidents before they spread.</w:t>
      </w:r>
    </w:p>
    <w:p>
      <w:pPr>
        <w:pStyle w:val="ListBullet"/>
      </w:pPr>
      <w:r>
        <w:rPr>
          <w:color w:val="282728"/>
        </w:rPr>
        <w:t>Reusability — bring-your-own-data for any team today; one configuration change from live ServiceNow and monitoring.</w:t>
      </w:r>
    </w:p>
    <w:p>
      <w:pPr>
        <w:pStyle w:val="ListBullet"/>
      </w:pPr>
      <w:r>
        <w:rPr>
          <w:color w:val="282728"/>
        </w:rPr>
        <w:t>Speed to build — delivered in days, not months, using Claude Code.</w:t>
      </w:r>
    </w:p>
    <w:p>
      <w:pPr>
        <w:spacing w:before="320" w:after="80"/>
      </w:pPr>
      <w:r>
        <w:rPr>
          <w:b/>
          <w:color w:val="6F9E1F"/>
          <w:sz w:val="30"/>
        </w:rPr>
        <w:t>What's next</w:t>
      </w:r>
    </w:p>
    <w:p>
      <w:pPr>
        <w:pStyle w:val="ListBullet"/>
      </w:pPr>
      <w:r>
        <w:rPr>
          <w:color w:val="282728"/>
        </w:rPr>
        <w:t>Connect live to ServiceNow and monitoring tools (metrics, logs, topology).</w:t>
      </w:r>
    </w:p>
    <w:p>
      <w:pPr>
        <w:pStyle w:val="ListBullet"/>
      </w:pPr>
      <w:r>
        <w:rPr>
          <w:color w:val="282728"/>
        </w:rPr>
        <w:t>Downloadable RCA and design reports.</w:t>
      </w:r>
    </w:p>
    <w:p>
      <w:pPr>
        <w:pStyle w:val="ListBullet"/>
      </w:pPr>
      <w:r>
        <w:rPr>
          <w:color w:val="282728"/>
        </w:rPr>
        <w:t>Optional secure hosting for broader, durable access.</w:t>
      </w:r>
    </w:p>
    <w:p>
      <w:pPr>
        <w:spacing w:before="240"/>
      </w:pPr>
      <w:r>
        <w:rPr>
          <w:i/>
          <w:color w:val="6F9E1F"/>
        </w:rPr>
        <w:t>Together makes progress — people and AI, diagnosing faster.</w:t>
      </w:r>
    </w:p>
    <w:p>
      <w:r>
        <w:rPr>
          <w:color w:val="5B6470"/>
          <w:sz w:val="19"/>
        </w:rPr>
        <w:t>Repository: github.com/surpanda1977/virtual-engineer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827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