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00"/>
      </w:pPr>
      <w:r>
        <w:rPr>
          <w:rFonts w:ascii="Arial" w:hAnsi="Arial"/>
          <w:b/>
          <w:sz w:val="32"/>
        </w:rPr>
        <w:t xml:space="preserve">Technical specification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Synthetic product specification for demonstration use.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Product: Marine exhaust-gas turbocharger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Identification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Manufacturer — SGDW-20261007-A Synthetic Works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Model designation — VX021-108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Specifications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Turbine flow type — axial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Bearings — plain bearings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Overall dimensions (L × W × H) — 2080 × 1760 × 2280 mm (for complete turbocharger with silencer)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Weight (kg) - dry condition stated — 3687.6 kg (dry, complete turbocharger with silencer)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Operating notes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Supply notes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The item names, ratings and supply-scope associations in this sheet are fictional. No physical acceptance range or real equipment compatibility is asserted.</w:t>
      </w:r>
    </w:p>
    <w:sectPr>
      <w:pgSz w:w="16838" w:h="11906" w:orient="landscape"/>
      <w:pgMar w:top="700" w:right="700" w:bottom="700" w:left="700"/>
    </w:sectPr>
  </w:body>
</w:document>
</file>