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0"/>
      </w:pPr>
      <w:r>
        <w:rPr>
          <w:rFonts w:ascii="Arial" w:hAnsi="Arial"/>
          <w:b/>
          <w:sz w:val="32"/>
        </w:rPr>
        <w:t xml:space="preserve">Technical specification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Synthetic product specification for demonstration use.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Product: Marine four-stroke engine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Identification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Maker — SGDW-20261007-A Synthetic Works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Model — VX005-111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Specifications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2000"/>
        <w:gridCol w:w="850"/>
        <w:gridCol w:w="8900"/>
      </w:tblGrid>
      <w:tr>
        <w:trPr>
          <w:cantSplit/>
          <w:tblHeader/>
        </w:trPr>
        <w:tc>
          <w:tcPr>
            <w:tcW w:w="26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Parameter</w:t>
            </w:r>
          </w:p>
        </w:tc>
        <w:tc>
          <w:tcPr>
            <w:tcW w:w="20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Value</w:t>
            </w:r>
          </w:p>
        </w:tc>
        <w:tc>
          <w:tcPr>
            <w:tcW w:w="85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Unit</w:t>
            </w:r>
          </w:p>
        </w:tc>
        <w:tc>
          <w:tcPr>
            <w:tcW w:w="8900" w:type="dxa"/>
            <w:shd w:val="clear" w:color="auto" w:fill="E8EEF4"/>
          </w:tcPr>
          <w:p>
            <w:pPr>
              <w:spacing w:before="0" w:after="100"/>
            </w:pPr>
            <w:r>
              <w:rPr>
                <w:rFonts w:ascii="Arial" w:hAnsi="Arial"/>
                <w:b/>
                <w:sz w:val="22"/>
              </w:rPr>
              <w:t xml:space="preserve">Rating / conditions / included scope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Number of cylinder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6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Cylinder bore mm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210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Stroke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290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Application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genset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Engine (kWm)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2221.25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kW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continuous rating; at R1; at 50 Hz; for engine shaft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Rated speed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900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rpm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at R1; at 50 Hz; engine crankshaft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Fuel types</w:t>
            </w:r>
          </w:p>
        </w:tc>
        <w:tc>
          <w:tcPr>
            <w:tcW w:w="20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MDO, MGO</w:t>
            </w:r>
          </w:p>
        </w:tc>
        <w:tc>
          <w:tcPr>
            <w:tcW w:w="85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  <w:tc>
          <w:tcPr>
            <w:tcW w:w="8900" w:type="dxa"/>
          </w:tcPr>
          <w:p>
            <w:pPr>
              <w:spacing w:before="0" w:after="100"/>
            </w:pPr>
            <w:r>
              <w:rPr>
                <w:rFonts w:ascii="Arial" w:hAnsi="Arial"/>
                <w:sz w:val="22"/>
              </w:rPr>
              <w:t xml:space="preserve">—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sz w:val="26"/>
        </w:rPr>
        <w:t xml:space="preserve">Installation data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Overall dimensions (L × W × H) — 4400 × 1900 × 2600 mm (engine without generator)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Dry weight — 22212.5 kg (dry condition; for engine without generator)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Operating 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Fuel types — MDO, MGO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engine-shaft output above is a mechanical rating; generator electrical output is not specified in this sheet.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Supply notes</w:t>
      </w:r>
    </w:p>
    <w:p>
      <w:pPr>
        <w:spacing w:before="0" w:after="100"/>
      </w:pPr>
      <w:r>
        <w:rPr>
          <w:rFonts w:ascii="Arial" w:hAnsi="Arial"/>
          <w:sz w:val="22"/>
        </w:rPr>
        <w:t xml:space="preserve">The item names, ratings and supply-scope associations in this sheet are fictional. No physical acceptance range or real equipment compatibility is asserted.</w:t>
      </w:r>
    </w:p>
    <w:sectPr>
      <w:pgSz w:w="16838" w:h="11906" w:orient="landscape"/>
      <w:pgMar w:top="700" w:right="700" w:bottom="700" w:left="700"/>
    </w:sectPr>
  </w:body>
</w:document>
</file>