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jc w:val="center"/>
      </w:pPr>
      <w:r>
        <w:rPr>
          <w:b/>
          <w:color w:val="132018"/>
          <w:sz w:val="56"/>
        </w:rPr>
        <w:t>Agent Event Protocol (AEP)</w:t>
      </w:r>
    </w:p>
    <w:p>
      <w:pPr>
        <w:spacing w:after="240"/>
        <w:jc w:val="center"/>
      </w:pPr>
      <w:r>
        <w:rPr>
          <w:b/>
          <w:color w:val="166534"/>
          <w:sz w:val="36"/>
        </w:rPr>
        <w:t>Setup &amp; Integration Guide</w:t>
      </w:r>
    </w:p>
    <w:p>
      <w:pPr>
        <w:spacing w:after="80"/>
        <w:jc w:val="center"/>
      </w:pPr>
      <w:r>
        <w:rPr>
          <w:b w:val="0"/>
          <w:color w:val="4C5F52"/>
          <w:sz w:val="24"/>
        </w:rPr>
        <w:t>Version 0.1.0</w:t>
      </w:r>
    </w:p>
    <w:p>
      <w:pPr>
        <w:spacing w:after="800"/>
        <w:jc w:val="center"/>
      </w:pPr>
      <w:r>
        <w:rPr>
          <w:b w:val="0"/>
          <w:color w:val="4C5F52"/>
          <w:sz w:val="22"/>
        </w:rPr>
        <w:t>Last Updated: March 15, 2026</w:t>
      </w:r>
    </w:p>
    <w:p>
      <w:pPr>
        <w:spacing w:after="120"/>
      </w:pPr>
      <w:r>
        <w:rPr>
          <w:b w:val="0"/>
          <w:color w:val="4C5F52"/>
          <w:sz w:val="22"/>
        </w:rPr>
        <w:t>This guide walks you through setting up the AEP MVP reference implementation and integrating event emission into your existing AI agents. By the end, your agents will emit structured, traceable events that you can observe in real time through the AEP dashboard.</w:t>
      </w:r>
    </w:p>
    <w:p>
      <w:r>
        <w:br w:type="page"/>
      </w:r>
    </w:p>
    <w:p>
      <w:pPr>
        <w:pStyle w:val="Heading1"/>
      </w:pPr>
      <w:r>
        <w:t>Table of Contents</w:t>
      </w:r>
    </w:p>
    <w:p>
      <w:pPr>
        <w:spacing w:after="40"/>
      </w:pPr>
      <w:r>
        <w:rPr>
          <w:sz w:val="22"/>
        </w:rPr>
        <w:t>1. What is AEP?</w:t>
      </w:r>
    </w:p>
    <w:p>
      <w:pPr>
        <w:spacing w:after="40"/>
      </w:pPr>
      <w:r>
        <w:rPr>
          <w:sz w:val="22"/>
        </w:rPr>
        <w:t>2. Prerequisites</w:t>
      </w:r>
    </w:p>
    <w:p>
      <w:pPr>
        <w:spacing w:after="40"/>
      </w:pPr>
      <w:r>
        <w:rPr>
          <w:sz w:val="22"/>
        </w:rPr>
        <w:t>3. Installation &amp; Server Setup</w:t>
      </w:r>
    </w:p>
    <w:p>
      <w:pPr>
        <w:spacing w:after="40"/>
      </w:pPr>
      <w:r>
        <w:rPr>
          <w:sz w:val="22"/>
        </w:rPr>
        <w:t>4. AEP Envelope Schema</w:t>
      </w:r>
    </w:p>
    <w:p>
      <w:pPr>
        <w:spacing w:after="40"/>
      </w:pPr>
      <w:r>
        <w:rPr>
          <w:sz w:val="22"/>
        </w:rPr>
        <w:t>5. Core Event Types</w:t>
      </w:r>
    </w:p>
    <w:p>
      <w:pPr>
        <w:spacing w:after="40"/>
      </w:pPr>
      <w:r>
        <w:rPr>
          <w:sz w:val="22"/>
        </w:rPr>
        <w:t>6. Integration Steps</w:t>
      </w:r>
    </w:p>
    <w:p>
      <w:pPr>
        <w:spacing w:after="40"/>
      </w:pPr>
      <w:r>
        <w:rPr>
          <w:sz w:val="22"/>
        </w:rPr>
        <w:t>7. The emit() Helper Function</w:t>
      </w:r>
    </w:p>
    <w:p>
      <w:pPr>
        <w:spacing w:after="40"/>
      </w:pPr>
      <w:r>
        <w:rPr>
          <w:sz w:val="22"/>
        </w:rPr>
        <w:t>8. Chaining Events with causation_id</w:t>
      </w:r>
    </w:p>
    <w:p>
      <w:pPr>
        <w:spacing w:after="40"/>
      </w:pPr>
      <w:r>
        <w:rPr>
          <w:sz w:val="22"/>
        </w:rPr>
        <w:t>9. Mapping Agent Actions to Event Types</w:t>
      </w:r>
    </w:p>
    <w:p>
      <w:pPr>
        <w:spacing w:after="40"/>
      </w:pPr>
      <w:r>
        <w:rPr>
          <w:sz w:val="22"/>
        </w:rPr>
        <w:t>10. Full Integration Example</w:t>
      </w:r>
    </w:p>
    <w:p>
      <w:pPr>
        <w:spacing w:after="40"/>
      </w:pPr>
      <w:r>
        <w:rPr>
          <w:sz w:val="22"/>
        </w:rPr>
        <w:t>11. Observing Events in the Dashboard</w:t>
      </w:r>
    </w:p>
    <w:p>
      <w:pPr>
        <w:spacing w:after="40"/>
      </w:pPr>
      <w:r>
        <w:rPr>
          <w:sz w:val="22"/>
        </w:rPr>
        <w:t>12. API Reference</w:t>
      </w:r>
    </w:p>
    <w:p>
      <w:pPr>
        <w:spacing w:after="40"/>
      </w:pPr>
      <w:r>
        <w:rPr>
          <w:sz w:val="22"/>
        </w:rPr>
        <w:t>13. Production Considerations</w:t>
      </w:r>
    </w:p>
    <w:p>
      <w:r>
        <w:br w:type="page"/>
      </w:r>
    </w:p>
    <w:p>
      <w:pPr>
        <w:pStyle w:val="Heading1"/>
      </w:pPr>
      <w:r>
        <w:t>1. What is AEP?</w:t>
      </w:r>
    </w:p>
    <w:p>
      <w:pPr>
        <w:spacing w:after="120"/>
      </w:pPr>
      <w:r>
        <w:rPr>
          <w:b w:val="0"/>
        </w:rPr>
        <w:t>The Agent Event Protocol (AEP) is a lightweight, domain-agnostic standard for capturing and observing AI agent activity. It defines a common envelope format and a small vocabulary of core event types that describe the lifecycle of any agent’s work: tasks being created and completed, tools being called, memory being accessed, handoffs between agents, and policy enforcement.</w:t>
      </w:r>
    </w:p>
    <w:p>
      <w:pPr>
        <w:spacing w:after="120"/>
      </w:pPr>
      <w:r>
        <w:rPr>
          <w:b w:val="0"/>
        </w:rPr>
        <w:t>AEP uses an at-least-once delivery model. Every event has a unique id, and the ingest server deduplicates by that id, so agents can safely retry without creating duplicate records. Events within a single agent run share a session_id and trace_id, making it easy to reconstruct the full chain of actions after the fact.</w:t>
      </w:r>
    </w:p>
    <w:p>
      <w:pPr>
        <w:pStyle w:val="Heading1"/>
      </w:pPr>
      <w:r>
        <w:t>2. Prerequisites</w:t>
      </w:r>
    </w:p>
    <w:p>
      <w:pPr>
        <w:pStyle w:val="ListBullet"/>
      </w:pPr>
      <w:r>
        <w:t>Node.js 18 or later (tested with Node 19)</w:t>
      </w:r>
    </w:p>
    <w:p>
      <w:pPr>
        <w:pStyle w:val="ListBullet"/>
      </w:pPr>
      <w:r>
        <w:t>npm (comes with Node.js)</w:t>
      </w:r>
    </w:p>
    <w:p>
      <w:pPr>
        <w:pStyle w:val="ListBullet"/>
      </w:pPr>
      <w:r>
        <w:t>A running agent (any language) that can make HTTP POST requests</w:t>
      </w:r>
    </w:p>
    <w:p>
      <w:pPr>
        <w:pStyle w:val="ListBullet"/>
      </w:pPr>
      <w:r>
        <w:t>Access to a terminal for running the ingest server</w:t>
      </w:r>
    </w:p>
    <w:p>
      <w:pPr>
        <w:pStyle w:val="Heading1"/>
      </w:pPr>
      <w:r>
        <w:t>3. Installation &amp; Server Setup</w:t>
      </w:r>
    </w:p>
    <w:p>
      <w:pPr>
        <w:pStyle w:val="Heading2"/>
      </w:pPr>
      <w:r>
        <w:t>Step 1: Install Dependencies</w:t>
      </w:r>
    </w:p>
    <w:p>
      <w:pPr>
        <w:spacing w:after="120"/>
      </w:pPr>
      <w:r>
        <w:rPr>
          <w:b w:val="0"/>
        </w:rPr>
        <w:t>From the aep-mvp project root:</w:t>
      </w:r>
    </w:p>
    <w:p>
      <w:pPr>
        <w:pStyle w:val="CodeBlock"/>
        <w:shd w:val="clear" w:color="auto" w:fill="F5F5F5"/>
      </w:pPr>
      <w:r>
        <w:t>npm install</w:t>
      </w:r>
    </w:p>
    <w:p>
      <w:pPr>
        <w:pStyle w:val="Heading2"/>
      </w:pPr>
      <w:r>
        <w:t>Step 2: Start the Ingest Server</w:t>
      </w:r>
    </w:p>
    <w:p>
      <w:pPr>
        <w:pStyle w:val="CodeBlock"/>
        <w:shd w:val="clear" w:color="auto" w:fill="F5F5F5"/>
      </w:pPr>
      <w:r>
        <w:t>npm run ingest</w:t>
      </w:r>
    </w:p>
    <w:p>
      <w:pPr>
        <w:spacing w:after="120"/>
      </w:pPr>
      <w:r>
        <w:rPr>
          <w:b w:val="0"/>
        </w:rPr>
        <w:t>You should see:</w:t>
      </w:r>
    </w:p>
    <w:p>
      <w:pPr>
        <w:pStyle w:val="CodeBlock"/>
        <w:shd w:val="clear" w:color="auto" w:fill="F5F5F5"/>
      </w:pPr>
      <w:r>
        <w:t>AEP ingest listening on http://localhost:8787</w:t>
      </w:r>
    </w:p>
    <w:p>
      <w:pPr>
        <w:pStyle w:val="Heading2"/>
      </w:pPr>
      <w:r>
        <w:t>Step 3: Verify It’s Running</w:t>
      </w:r>
    </w:p>
    <w:p>
      <w:pPr>
        <w:pStyle w:val="CodeBlock"/>
        <w:shd w:val="clear" w:color="auto" w:fill="F5F5F5"/>
      </w:pPr>
      <w:r>
        <w:t>curl http://localhost:8787/health</w:t>
      </w:r>
    </w:p>
    <w:p>
      <w:pPr>
        <w:spacing w:after="120"/>
      </w:pPr>
      <w:r>
        <w:rPr>
          <w:b w:val="0"/>
        </w:rPr>
        <w:t>Expected response:</w:t>
      </w:r>
    </w:p>
    <w:p>
      <w:pPr>
        <w:pStyle w:val="CodeBlock"/>
        <w:shd w:val="clear" w:color="auto" w:fill="F5F5F5"/>
      </w:pPr>
      <w:r>
        <w:t>{ "ok": true, "service": "aep-ingest", "version": "0.1.0" }</w:t>
      </w:r>
    </w:p>
    <w:p>
      <w:pPr>
        <w:spacing w:after="160"/>
      </w:pPr>
      <w:r>
        <w:rPr>
          <w:b/>
          <w:color w:val="166534"/>
          <w:sz w:val="20"/>
        </w:rPr>
        <w:t xml:space="preserve">ℹ  Note: </w:t>
      </w:r>
      <w:r>
        <w:rPr>
          <w:color w:val="4C5F52"/>
          <w:sz w:val="20"/>
        </w:rPr>
        <w:t>The server defaults to port 8787. Set the PORT environment variable to change it (e.g., PORT=9000 npm run ingest).</w:t>
      </w:r>
    </w:p>
    <w:p>
      <w:pPr>
        <w:pStyle w:val="Heading1"/>
      </w:pPr>
      <w:r>
        <w:t>4. AEP Envelope Schema</w:t>
      </w:r>
    </w:p>
    <w:p>
      <w:pPr>
        <w:spacing w:after="120"/>
      </w:pPr>
      <w:r>
        <w:rPr>
          <w:b w:val="0"/>
        </w:rPr>
        <w:t>Every AEP event is a JSON object that conforms to the envelope schema. The envelope ensures a consistent structure so that any consumer (dashboards, analytics, alerting) can process events from any agent without custom parsing.</w:t>
      </w:r>
    </w:p>
    <w:p>
      <w:pPr>
        <w:pStyle w:val="Heading2"/>
      </w:pPr>
      <w:r>
        <w:t>Required Fields</w:t>
      </w:r>
    </w:p>
    <w:tbl>
      <w:tblPr>
        <w:tblStyle w:val="TableGrid"/>
        <w:tblW w:type="auto" w:w="0"/>
        <w:jc w:val="left"/>
        <w:tblLook w:firstColumn="1" w:firstRow="1" w:lastColumn="0" w:lastRow="0" w:noHBand="0" w:noVBand="1" w:val="04A0"/>
      </w:tblPr>
      <w:tblGrid>
        <w:gridCol w:w="3120"/>
        <w:gridCol w:w="3120"/>
        <w:gridCol w:w="3120"/>
      </w:tblGrid>
      <w:tr>
        <w:tc>
          <w:tcPr>
            <w:tcW w:type="dxa" w:w="1872"/>
            <w:shd w:val="clear" w:color="auto" w:fill="D5E8D4"/>
          </w:tcPr>
          <w:p>
            <w:r/>
            <w:r>
              <w:rPr>
                <w:rFonts w:ascii="Arial" w:hAnsi="Arial"/>
                <w:b/>
                <w:sz w:val="20"/>
              </w:rPr>
              <w:t>Field</w:t>
            </w:r>
          </w:p>
        </w:tc>
        <w:tc>
          <w:tcPr>
            <w:tcW w:type="dxa" w:w="1152"/>
            <w:shd w:val="clear" w:color="auto" w:fill="D5E8D4"/>
          </w:tcPr>
          <w:p>
            <w:r/>
            <w:r>
              <w:rPr>
                <w:rFonts w:ascii="Arial" w:hAnsi="Arial"/>
                <w:b/>
                <w:sz w:val="20"/>
              </w:rPr>
              <w:t>Type</w:t>
            </w:r>
          </w:p>
        </w:tc>
        <w:tc>
          <w:tcPr>
            <w:tcW w:type="dxa" w:w="6336"/>
            <w:shd w:val="clear" w:color="auto" w:fill="D5E8D4"/>
          </w:tcPr>
          <w:p>
            <w:r/>
            <w:r>
              <w:rPr>
                <w:rFonts w:ascii="Arial" w:hAnsi="Arial"/>
                <w:b/>
                <w:sz w:val="20"/>
              </w:rPr>
              <w:t>Description</w:t>
            </w:r>
          </w:p>
        </w:tc>
      </w:tr>
      <w:tr>
        <w:tc>
          <w:tcPr>
            <w:tcW w:type="dxa" w:w="1872"/>
          </w:tcPr>
          <w:p>
            <w:r/>
            <w:r>
              <w:rPr>
                <w:rFonts w:ascii="Arial" w:hAnsi="Arial"/>
                <w:sz w:val="20"/>
              </w:rPr>
              <w:t>specversion</w:t>
            </w:r>
          </w:p>
        </w:tc>
        <w:tc>
          <w:tcPr>
            <w:tcW w:type="dxa" w:w="1152"/>
          </w:tcPr>
          <w:p>
            <w:r/>
            <w:r>
              <w:rPr>
                <w:rFonts w:ascii="Arial" w:hAnsi="Arial"/>
                <w:sz w:val="20"/>
              </w:rPr>
              <w:t>string</w:t>
            </w:r>
          </w:p>
        </w:tc>
        <w:tc>
          <w:tcPr>
            <w:tcW w:type="dxa" w:w="6336"/>
          </w:tcPr>
          <w:p>
            <w:r/>
            <w:r>
              <w:rPr>
                <w:rFonts w:ascii="Arial" w:hAnsi="Arial"/>
                <w:sz w:val="20"/>
              </w:rPr>
              <w:t>Protocol version. Must be "0.1.0"</w:t>
            </w:r>
          </w:p>
        </w:tc>
      </w:tr>
      <w:tr>
        <w:tc>
          <w:tcPr>
            <w:tcW w:type="dxa" w:w="1872"/>
          </w:tcPr>
          <w:p>
            <w:r/>
            <w:r>
              <w:rPr>
                <w:rFonts w:ascii="Arial" w:hAnsi="Arial"/>
                <w:sz w:val="20"/>
              </w:rPr>
              <w:t>id</w:t>
            </w:r>
          </w:p>
        </w:tc>
        <w:tc>
          <w:tcPr>
            <w:tcW w:type="dxa" w:w="1152"/>
          </w:tcPr>
          <w:p>
            <w:r/>
            <w:r>
              <w:rPr>
                <w:rFonts w:ascii="Arial" w:hAnsi="Arial"/>
                <w:sz w:val="20"/>
              </w:rPr>
              <w:t>string</w:t>
            </w:r>
          </w:p>
        </w:tc>
        <w:tc>
          <w:tcPr>
            <w:tcW w:type="dxa" w:w="6336"/>
          </w:tcPr>
          <w:p>
            <w:r/>
            <w:r>
              <w:rPr>
                <w:rFonts w:ascii="Arial" w:hAnsi="Arial"/>
                <w:sz w:val="20"/>
              </w:rPr>
              <w:t>Unique event identifier (UUID recommended)</w:t>
            </w:r>
          </w:p>
        </w:tc>
      </w:tr>
      <w:tr>
        <w:tc>
          <w:tcPr>
            <w:tcW w:type="dxa" w:w="1872"/>
          </w:tcPr>
          <w:p>
            <w:r/>
            <w:r>
              <w:rPr>
                <w:rFonts w:ascii="Arial" w:hAnsi="Arial"/>
                <w:sz w:val="20"/>
              </w:rPr>
              <w:t>time</w:t>
            </w:r>
          </w:p>
        </w:tc>
        <w:tc>
          <w:tcPr>
            <w:tcW w:type="dxa" w:w="1152"/>
          </w:tcPr>
          <w:p>
            <w:r/>
            <w:r>
              <w:rPr>
                <w:rFonts w:ascii="Arial" w:hAnsi="Arial"/>
                <w:sz w:val="20"/>
              </w:rPr>
              <w:t>string</w:t>
            </w:r>
          </w:p>
        </w:tc>
        <w:tc>
          <w:tcPr>
            <w:tcW w:type="dxa" w:w="6336"/>
          </w:tcPr>
          <w:p>
            <w:r/>
            <w:r>
              <w:rPr>
                <w:rFonts w:ascii="Arial" w:hAnsi="Arial"/>
                <w:sz w:val="20"/>
              </w:rPr>
              <w:t>ISO 8601 timestamp of when the event occurred</w:t>
            </w:r>
          </w:p>
        </w:tc>
      </w:tr>
      <w:tr>
        <w:tc>
          <w:tcPr>
            <w:tcW w:type="dxa" w:w="1872"/>
          </w:tcPr>
          <w:p>
            <w:r/>
            <w:r>
              <w:rPr>
                <w:rFonts w:ascii="Arial" w:hAnsi="Arial"/>
                <w:sz w:val="20"/>
              </w:rPr>
              <w:t>source</w:t>
            </w:r>
          </w:p>
        </w:tc>
        <w:tc>
          <w:tcPr>
            <w:tcW w:type="dxa" w:w="1152"/>
          </w:tcPr>
          <w:p>
            <w:r/>
            <w:r>
              <w:rPr>
                <w:rFonts w:ascii="Arial" w:hAnsi="Arial"/>
                <w:sz w:val="20"/>
              </w:rPr>
              <w:t>string</w:t>
            </w:r>
          </w:p>
        </w:tc>
        <w:tc>
          <w:tcPr>
            <w:tcW w:type="dxa" w:w="6336"/>
          </w:tcPr>
          <w:p>
            <w:r/>
            <w:r>
              <w:rPr>
                <w:rFonts w:ascii="Arial" w:hAnsi="Arial"/>
                <w:sz w:val="20"/>
              </w:rPr>
              <w:t>Identifier for the emitting agent (e.g., "agent://my-agent")</w:t>
            </w:r>
          </w:p>
        </w:tc>
      </w:tr>
      <w:tr>
        <w:tc>
          <w:tcPr>
            <w:tcW w:type="dxa" w:w="1872"/>
          </w:tcPr>
          <w:p>
            <w:r/>
            <w:r>
              <w:rPr>
                <w:rFonts w:ascii="Arial" w:hAnsi="Arial"/>
                <w:sz w:val="20"/>
              </w:rPr>
              <w:t>type</w:t>
            </w:r>
          </w:p>
        </w:tc>
        <w:tc>
          <w:tcPr>
            <w:tcW w:type="dxa" w:w="1152"/>
          </w:tcPr>
          <w:p>
            <w:r/>
            <w:r>
              <w:rPr>
                <w:rFonts w:ascii="Arial" w:hAnsi="Arial"/>
                <w:sz w:val="20"/>
              </w:rPr>
              <w:t>string</w:t>
            </w:r>
          </w:p>
        </w:tc>
        <w:tc>
          <w:tcPr>
            <w:tcW w:type="dxa" w:w="6336"/>
          </w:tcPr>
          <w:p>
            <w:r/>
            <w:r>
              <w:rPr>
                <w:rFonts w:ascii="Arial" w:hAnsi="Arial"/>
                <w:sz w:val="20"/>
              </w:rPr>
              <w:t>One of the 12 core event types (see Section 5)</w:t>
            </w:r>
          </w:p>
        </w:tc>
      </w:tr>
      <w:tr>
        <w:tc>
          <w:tcPr>
            <w:tcW w:type="dxa" w:w="1872"/>
          </w:tcPr>
          <w:p>
            <w:r/>
            <w:r>
              <w:rPr>
                <w:rFonts w:ascii="Arial" w:hAnsi="Arial"/>
                <w:sz w:val="20"/>
              </w:rPr>
              <w:t>session_id</w:t>
            </w:r>
          </w:p>
        </w:tc>
        <w:tc>
          <w:tcPr>
            <w:tcW w:type="dxa" w:w="1152"/>
          </w:tcPr>
          <w:p>
            <w:r/>
            <w:r>
              <w:rPr>
                <w:rFonts w:ascii="Arial" w:hAnsi="Arial"/>
                <w:sz w:val="20"/>
              </w:rPr>
              <w:t>string</w:t>
            </w:r>
          </w:p>
        </w:tc>
        <w:tc>
          <w:tcPr>
            <w:tcW w:type="dxa" w:w="6336"/>
          </w:tcPr>
          <w:p>
            <w:r/>
            <w:r>
              <w:rPr>
                <w:rFonts w:ascii="Arial" w:hAnsi="Arial"/>
                <w:sz w:val="20"/>
              </w:rPr>
              <w:t>Groups all events from one agent run or conversation</w:t>
            </w:r>
          </w:p>
        </w:tc>
      </w:tr>
      <w:tr>
        <w:tc>
          <w:tcPr>
            <w:tcW w:type="dxa" w:w="1872"/>
          </w:tcPr>
          <w:p>
            <w:r/>
            <w:r>
              <w:rPr>
                <w:rFonts w:ascii="Arial" w:hAnsi="Arial"/>
                <w:sz w:val="20"/>
              </w:rPr>
              <w:t>trace_id</w:t>
            </w:r>
          </w:p>
        </w:tc>
        <w:tc>
          <w:tcPr>
            <w:tcW w:type="dxa" w:w="1152"/>
          </w:tcPr>
          <w:p>
            <w:r/>
            <w:r>
              <w:rPr>
                <w:rFonts w:ascii="Arial" w:hAnsi="Arial"/>
                <w:sz w:val="20"/>
              </w:rPr>
              <w:t>string</w:t>
            </w:r>
          </w:p>
        </w:tc>
        <w:tc>
          <w:tcPr>
            <w:tcW w:type="dxa" w:w="6336"/>
          </w:tcPr>
          <w:p>
            <w:r/>
            <w:r>
              <w:rPr>
                <w:rFonts w:ascii="Arial" w:hAnsi="Arial"/>
                <w:sz w:val="20"/>
              </w:rPr>
              <w:t>Groups events in one logical workflow or trace</w:t>
            </w:r>
          </w:p>
        </w:tc>
      </w:tr>
      <w:tr>
        <w:tc>
          <w:tcPr>
            <w:tcW w:type="dxa" w:w="1872"/>
          </w:tcPr>
          <w:p>
            <w:r/>
            <w:r>
              <w:rPr>
                <w:rFonts w:ascii="Arial" w:hAnsi="Arial"/>
                <w:sz w:val="20"/>
              </w:rPr>
              <w:t>payload</w:t>
            </w:r>
          </w:p>
        </w:tc>
        <w:tc>
          <w:tcPr>
            <w:tcW w:type="dxa" w:w="1152"/>
          </w:tcPr>
          <w:p>
            <w:r/>
            <w:r>
              <w:rPr>
                <w:rFonts w:ascii="Arial" w:hAnsi="Arial"/>
                <w:sz w:val="20"/>
              </w:rPr>
              <w:t>object</w:t>
            </w:r>
          </w:p>
        </w:tc>
        <w:tc>
          <w:tcPr>
            <w:tcW w:type="dxa" w:w="6336"/>
          </w:tcPr>
          <w:p>
            <w:r/>
            <w:r>
              <w:rPr>
                <w:rFonts w:ascii="Arial" w:hAnsi="Arial"/>
                <w:sz w:val="20"/>
              </w:rPr>
              <w:t>Event-specific data (free-form JSON object)</w:t>
            </w:r>
          </w:p>
        </w:tc>
      </w:tr>
    </w:tbl>
    <w:p/>
    <w:p>
      <w:pPr>
        <w:pStyle w:val="Heading2"/>
      </w:pPr>
      <w:r>
        <w:t>Optional Fields</w:t>
      </w:r>
    </w:p>
    <w:tbl>
      <w:tblPr>
        <w:tblStyle w:val="TableGrid"/>
        <w:tblW w:type="auto" w:w="0"/>
        <w:jc w:val="left"/>
        <w:tblLook w:firstColumn="1" w:firstRow="1" w:lastColumn="0" w:lastRow="0" w:noHBand="0" w:noVBand="1" w:val="04A0"/>
      </w:tblPr>
      <w:tblGrid>
        <w:gridCol w:w="3120"/>
        <w:gridCol w:w="3120"/>
        <w:gridCol w:w="3120"/>
      </w:tblGrid>
      <w:tr>
        <w:tc>
          <w:tcPr>
            <w:tcW w:type="dxa" w:w="2160"/>
            <w:shd w:val="clear" w:color="auto" w:fill="D5E8D4"/>
          </w:tcPr>
          <w:p>
            <w:r/>
            <w:r>
              <w:rPr>
                <w:rFonts w:ascii="Arial" w:hAnsi="Arial"/>
                <w:b/>
                <w:sz w:val="20"/>
              </w:rPr>
              <w:t>Field</w:t>
            </w:r>
          </w:p>
        </w:tc>
        <w:tc>
          <w:tcPr>
            <w:tcW w:type="dxa" w:w="1152"/>
            <w:shd w:val="clear" w:color="auto" w:fill="D5E8D4"/>
          </w:tcPr>
          <w:p>
            <w:r/>
            <w:r>
              <w:rPr>
                <w:rFonts w:ascii="Arial" w:hAnsi="Arial"/>
                <w:b/>
                <w:sz w:val="20"/>
              </w:rPr>
              <w:t>Type</w:t>
            </w:r>
          </w:p>
        </w:tc>
        <w:tc>
          <w:tcPr>
            <w:tcW w:type="dxa" w:w="6048"/>
            <w:shd w:val="clear" w:color="auto" w:fill="D5E8D4"/>
          </w:tcPr>
          <w:p>
            <w:r/>
            <w:r>
              <w:rPr>
                <w:rFonts w:ascii="Arial" w:hAnsi="Arial"/>
                <w:b/>
                <w:sz w:val="20"/>
              </w:rPr>
              <w:t>Description</w:t>
            </w:r>
          </w:p>
        </w:tc>
      </w:tr>
      <w:tr>
        <w:tc>
          <w:tcPr>
            <w:tcW w:type="dxa" w:w="2160"/>
          </w:tcPr>
          <w:p>
            <w:r/>
            <w:r>
              <w:rPr>
                <w:rFonts w:ascii="Arial" w:hAnsi="Arial"/>
                <w:sz w:val="20"/>
              </w:rPr>
              <w:t>causation_id</w:t>
            </w:r>
          </w:p>
        </w:tc>
        <w:tc>
          <w:tcPr>
            <w:tcW w:type="dxa" w:w="1152"/>
          </w:tcPr>
          <w:p>
            <w:r/>
            <w:r>
              <w:rPr>
                <w:rFonts w:ascii="Arial" w:hAnsi="Arial"/>
                <w:sz w:val="20"/>
              </w:rPr>
              <w:t>string</w:t>
            </w:r>
          </w:p>
        </w:tc>
        <w:tc>
          <w:tcPr>
            <w:tcW w:type="dxa" w:w="6048"/>
          </w:tcPr>
          <w:p>
            <w:r/>
            <w:r>
              <w:rPr>
                <w:rFonts w:ascii="Arial" w:hAnsi="Arial"/>
                <w:sz w:val="20"/>
              </w:rPr>
              <w:t>ID of the event that directly caused this one</w:t>
            </w:r>
          </w:p>
        </w:tc>
      </w:tr>
      <w:tr>
        <w:tc>
          <w:tcPr>
            <w:tcW w:type="dxa" w:w="2160"/>
          </w:tcPr>
          <w:p>
            <w:r/>
            <w:r>
              <w:rPr>
                <w:rFonts w:ascii="Arial" w:hAnsi="Arial"/>
                <w:sz w:val="20"/>
              </w:rPr>
              <w:t>subject</w:t>
            </w:r>
          </w:p>
        </w:tc>
        <w:tc>
          <w:tcPr>
            <w:tcW w:type="dxa" w:w="1152"/>
          </w:tcPr>
          <w:p>
            <w:r/>
            <w:r>
              <w:rPr>
                <w:rFonts w:ascii="Arial" w:hAnsi="Arial"/>
                <w:sz w:val="20"/>
              </w:rPr>
              <w:t>string</w:t>
            </w:r>
          </w:p>
        </w:tc>
        <w:tc>
          <w:tcPr>
            <w:tcW w:type="dxa" w:w="6048"/>
          </w:tcPr>
          <w:p>
            <w:r/>
            <w:r>
              <w:rPr>
                <w:rFonts w:ascii="Arial" w:hAnsi="Arial"/>
                <w:sz w:val="20"/>
              </w:rPr>
              <w:t>Subject or topic of the event</w:t>
            </w:r>
          </w:p>
        </w:tc>
      </w:tr>
      <w:tr>
        <w:tc>
          <w:tcPr>
            <w:tcW w:type="dxa" w:w="2160"/>
          </w:tcPr>
          <w:p>
            <w:r/>
            <w:r>
              <w:rPr>
                <w:rFonts w:ascii="Arial" w:hAnsi="Arial"/>
                <w:sz w:val="20"/>
              </w:rPr>
              <w:t>idempotency_key</w:t>
            </w:r>
          </w:p>
        </w:tc>
        <w:tc>
          <w:tcPr>
            <w:tcW w:type="dxa" w:w="1152"/>
          </w:tcPr>
          <w:p>
            <w:r/>
            <w:r>
              <w:rPr>
                <w:rFonts w:ascii="Arial" w:hAnsi="Arial"/>
                <w:sz w:val="20"/>
              </w:rPr>
              <w:t>string</w:t>
            </w:r>
          </w:p>
        </w:tc>
        <w:tc>
          <w:tcPr>
            <w:tcW w:type="dxa" w:w="6048"/>
          </w:tcPr>
          <w:p>
            <w:r/>
            <w:r>
              <w:rPr>
                <w:rFonts w:ascii="Arial" w:hAnsi="Arial"/>
                <w:sz w:val="20"/>
              </w:rPr>
              <w:t>Client-provided key for deduplication</w:t>
            </w:r>
          </w:p>
        </w:tc>
      </w:tr>
      <w:tr>
        <w:tc>
          <w:tcPr>
            <w:tcW w:type="dxa" w:w="2160"/>
          </w:tcPr>
          <w:p>
            <w:r/>
            <w:r>
              <w:rPr>
                <w:rFonts w:ascii="Arial" w:hAnsi="Arial"/>
                <w:sz w:val="20"/>
              </w:rPr>
              <w:t>schema</w:t>
            </w:r>
          </w:p>
        </w:tc>
        <w:tc>
          <w:tcPr>
            <w:tcW w:type="dxa" w:w="1152"/>
          </w:tcPr>
          <w:p>
            <w:r/>
            <w:r>
              <w:rPr>
                <w:rFonts w:ascii="Arial" w:hAnsi="Arial"/>
                <w:sz w:val="20"/>
              </w:rPr>
              <w:t>string</w:t>
            </w:r>
          </w:p>
        </w:tc>
        <w:tc>
          <w:tcPr>
            <w:tcW w:type="dxa" w:w="6048"/>
          </w:tcPr>
          <w:p>
            <w:r/>
            <w:r>
              <w:rPr>
                <w:rFonts w:ascii="Arial" w:hAnsi="Arial"/>
                <w:sz w:val="20"/>
              </w:rPr>
              <w:t>Payload schema identifier (e.g., "aep.tool.called/1")</w:t>
            </w:r>
          </w:p>
        </w:tc>
      </w:tr>
      <w:tr>
        <w:tc>
          <w:tcPr>
            <w:tcW w:type="dxa" w:w="2160"/>
          </w:tcPr>
          <w:p>
            <w:r/>
            <w:r>
              <w:rPr>
                <w:rFonts w:ascii="Arial" w:hAnsi="Arial"/>
                <w:sz w:val="20"/>
              </w:rPr>
              <w:t>content_type</w:t>
            </w:r>
          </w:p>
        </w:tc>
        <w:tc>
          <w:tcPr>
            <w:tcW w:type="dxa" w:w="1152"/>
          </w:tcPr>
          <w:p>
            <w:r/>
            <w:r>
              <w:rPr>
                <w:rFonts w:ascii="Arial" w:hAnsi="Arial"/>
                <w:sz w:val="20"/>
              </w:rPr>
              <w:t>string</w:t>
            </w:r>
          </w:p>
        </w:tc>
        <w:tc>
          <w:tcPr>
            <w:tcW w:type="dxa" w:w="6048"/>
          </w:tcPr>
          <w:p>
            <w:r/>
            <w:r>
              <w:rPr>
                <w:rFonts w:ascii="Arial" w:hAnsi="Arial"/>
                <w:sz w:val="20"/>
              </w:rPr>
              <w:t>Payload media type (default: "application/json")</w:t>
            </w:r>
          </w:p>
        </w:tc>
      </w:tr>
      <w:tr>
        <w:tc>
          <w:tcPr>
            <w:tcW w:type="dxa" w:w="2160"/>
          </w:tcPr>
          <w:p>
            <w:r/>
            <w:r>
              <w:rPr>
                <w:rFonts w:ascii="Arial" w:hAnsi="Arial"/>
                <w:sz w:val="20"/>
              </w:rPr>
              <w:t>signature</w:t>
            </w:r>
          </w:p>
        </w:tc>
        <w:tc>
          <w:tcPr>
            <w:tcW w:type="dxa" w:w="1152"/>
          </w:tcPr>
          <w:p>
            <w:r/>
            <w:r>
              <w:rPr>
                <w:rFonts w:ascii="Arial" w:hAnsi="Arial"/>
                <w:sz w:val="20"/>
              </w:rPr>
              <w:t>object</w:t>
            </w:r>
          </w:p>
        </w:tc>
        <w:tc>
          <w:tcPr>
            <w:tcW w:type="dxa" w:w="6048"/>
          </w:tcPr>
          <w:p>
            <w:r/>
            <w:r>
              <w:rPr>
                <w:rFonts w:ascii="Arial" w:hAnsi="Arial"/>
                <w:sz w:val="20"/>
              </w:rPr>
              <w:t>Cryptographic signature metadata</w:t>
            </w:r>
          </w:p>
        </w:tc>
      </w:tr>
      <w:tr>
        <w:tc>
          <w:tcPr>
            <w:tcW w:type="dxa" w:w="2160"/>
          </w:tcPr>
          <w:p>
            <w:r/>
            <w:r>
              <w:rPr>
                <w:rFonts w:ascii="Arial" w:hAnsi="Arial"/>
                <w:sz w:val="20"/>
              </w:rPr>
              <w:t>tenant</w:t>
            </w:r>
          </w:p>
        </w:tc>
        <w:tc>
          <w:tcPr>
            <w:tcW w:type="dxa" w:w="1152"/>
          </w:tcPr>
          <w:p>
            <w:r/>
            <w:r>
              <w:rPr>
                <w:rFonts w:ascii="Arial" w:hAnsi="Arial"/>
                <w:sz w:val="20"/>
              </w:rPr>
              <w:t>string</w:t>
            </w:r>
          </w:p>
        </w:tc>
        <w:tc>
          <w:tcPr>
            <w:tcW w:type="dxa" w:w="6048"/>
          </w:tcPr>
          <w:p>
            <w:r/>
            <w:r>
              <w:rPr>
                <w:rFonts w:ascii="Arial" w:hAnsi="Arial"/>
                <w:sz w:val="20"/>
              </w:rPr>
              <w:t>Multi-tenant namespace identifier</w:t>
            </w:r>
          </w:p>
        </w:tc>
      </w:tr>
      <w:tr>
        <w:tc>
          <w:tcPr>
            <w:tcW w:type="dxa" w:w="2160"/>
          </w:tcPr>
          <w:p>
            <w:r/>
            <w:r>
              <w:rPr>
                <w:rFonts w:ascii="Arial" w:hAnsi="Arial"/>
                <w:sz w:val="20"/>
              </w:rPr>
              <w:t>labels</w:t>
            </w:r>
          </w:p>
        </w:tc>
        <w:tc>
          <w:tcPr>
            <w:tcW w:type="dxa" w:w="1152"/>
          </w:tcPr>
          <w:p>
            <w:r/>
            <w:r>
              <w:rPr>
                <w:rFonts w:ascii="Arial" w:hAnsi="Arial"/>
                <w:sz w:val="20"/>
              </w:rPr>
              <w:t>object</w:t>
            </w:r>
          </w:p>
        </w:tc>
        <w:tc>
          <w:tcPr>
            <w:tcW w:type="dxa" w:w="6048"/>
          </w:tcPr>
          <w:p>
            <w:r/>
            <w:r>
              <w:rPr>
                <w:rFonts w:ascii="Arial" w:hAnsi="Arial"/>
                <w:sz w:val="20"/>
              </w:rPr>
              <w:t>Key-value string tags for filtering</w:t>
            </w:r>
          </w:p>
        </w:tc>
      </w:tr>
      <w:tr>
        <w:tc>
          <w:tcPr>
            <w:tcW w:type="dxa" w:w="2160"/>
          </w:tcPr>
          <w:p>
            <w:r/>
            <w:r>
              <w:rPr>
                <w:rFonts w:ascii="Arial" w:hAnsi="Arial"/>
                <w:sz w:val="20"/>
              </w:rPr>
              <w:t>extensions</w:t>
            </w:r>
          </w:p>
        </w:tc>
        <w:tc>
          <w:tcPr>
            <w:tcW w:type="dxa" w:w="1152"/>
          </w:tcPr>
          <w:p>
            <w:r/>
            <w:r>
              <w:rPr>
                <w:rFonts w:ascii="Arial" w:hAnsi="Arial"/>
                <w:sz w:val="20"/>
              </w:rPr>
              <w:t>object</w:t>
            </w:r>
          </w:p>
        </w:tc>
        <w:tc>
          <w:tcPr>
            <w:tcW w:type="dxa" w:w="6048"/>
          </w:tcPr>
          <w:p>
            <w:r/>
            <w:r>
              <w:rPr>
                <w:rFonts w:ascii="Arial" w:hAnsi="Arial"/>
                <w:sz w:val="20"/>
              </w:rPr>
              <w:t>Arbitrary extension data</w:t>
            </w:r>
          </w:p>
        </w:tc>
      </w:tr>
    </w:tbl>
    <w:p/>
    <w:p>
      <w:pPr>
        <w:pStyle w:val="Heading1"/>
      </w:pPr>
      <w:r>
        <w:t>5. Core Event Types</w:t>
      </w:r>
    </w:p>
    <w:p>
      <w:pPr>
        <w:spacing w:after="120"/>
      </w:pPr>
      <w:r>
        <w:rPr>
          <w:b w:val="0"/>
        </w:rPr>
        <w:t>AEP v0.1 defines exactly 12 core event types. The ingest server rejects any event whose type is not in this list. This constraint ensures a consistent, queryable vocabulary across all agents.</w:t>
      </w:r>
    </w:p>
    <w:tbl>
      <w:tblPr>
        <w:tblStyle w:val="TableGrid"/>
        <w:tblW w:type="auto" w:w="0"/>
        <w:jc w:val="left"/>
        <w:tblLook w:firstColumn="1" w:firstRow="1" w:lastColumn="0" w:lastRow="0" w:noHBand="0" w:noVBand="1" w:val="04A0"/>
      </w:tblPr>
      <w:tblGrid>
        <w:gridCol w:w="3120"/>
        <w:gridCol w:w="3120"/>
        <w:gridCol w:w="3120"/>
      </w:tblGrid>
      <w:tr>
        <w:tc>
          <w:tcPr>
            <w:tcW w:type="dxa" w:w="2160"/>
            <w:shd w:val="clear" w:color="auto" w:fill="D5E8D4"/>
          </w:tcPr>
          <w:p>
            <w:r/>
            <w:r>
              <w:rPr>
                <w:rFonts w:ascii="Arial" w:hAnsi="Arial"/>
                <w:b/>
                <w:sz w:val="20"/>
              </w:rPr>
              <w:t>Event Type</w:t>
            </w:r>
          </w:p>
        </w:tc>
        <w:tc>
          <w:tcPr>
            <w:tcW w:type="dxa" w:w="1728"/>
            <w:shd w:val="clear" w:color="auto" w:fill="D5E8D4"/>
          </w:tcPr>
          <w:p>
            <w:r/>
            <w:r>
              <w:rPr>
                <w:rFonts w:ascii="Arial" w:hAnsi="Arial"/>
                <w:b/>
                <w:sz w:val="20"/>
              </w:rPr>
              <w:t>Category</w:t>
            </w:r>
          </w:p>
        </w:tc>
        <w:tc>
          <w:tcPr>
            <w:tcW w:type="dxa" w:w="5472"/>
            <w:shd w:val="clear" w:color="auto" w:fill="D5E8D4"/>
          </w:tcPr>
          <w:p>
            <w:r/>
            <w:r>
              <w:rPr>
                <w:rFonts w:ascii="Arial" w:hAnsi="Arial"/>
                <w:b/>
                <w:sz w:val="20"/>
              </w:rPr>
              <w:t>When to Use</w:t>
            </w:r>
          </w:p>
        </w:tc>
      </w:tr>
      <w:tr>
        <w:tc>
          <w:tcPr>
            <w:tcW w:type="dxa" w:w="2160"/>
          </w:tcPr>
          <w:p>
            <w:r/>
            <w:r>
              <w:rPr>
                <w:rFonts w:ascii="Arial" w:hAnsi="Arial"/>
                <w:sz w:val="20"/>
              </w:rPr>
              <w:t>task.created</w:t>
            </w:r>
          </w:p>
        </w:tc>
        <w:tc>
          <w:tcPr>
            <w:tcW w:type="dxa" w:w="1728"/>
          </w:tcPr>
          <w:p>
            <w:r/>
            <w:r>
              <w:rPr>
                <w:rFonts w:ascii="Arial" w:hAnsi="Arial"/>
                <w:sz w:val="20"/>
              </w:rPr>
              <w:t>Task Lifecycle</w:t>
            </w:r>
          </w:p>
        </w:tc>
        <w:tc>
          <w:tcPr>
            <w:tcW w:type="dxa" w:w="5472"/>
          </w:tcPr>
          <w:p>
            <w:r/>
            <w:r>
              <w:rPr>
                <w:rFonts w:ascii="Arial" w:hAnsi="Arial"/>
                <w:sz w:val="20"/>
              </w:rPr>
              <w:t>Agent receives a new task or user request</w:t>
            </w:r>
          </w:p>
        </w:tc>
      </w:tr>
      <w:tr>
        <w:tc>
          <w:tcPr>
            <w:tcW w:type="dxa" w:w="2160"/>
          </w:tcPr>
          <w:p>
            <w:r/>
            <w:r>
              <w:rPr>
                <w:rFonts w:ascii="Arial" w:hAnsi="Arial"/>
                <w:sz w:val="20"/>
              </w:rPr>
              <w:t>task.updated</w:t>
            </w:r>
          </w:p>
        </w:tc>
        <w:tc>
          <w:tcPr>
            <w:tcW w:type="dxa" w:w="1728"/>
          </w:tcPr>
          <w:p>
            <w:r/>
            <w:r>
              <w:rPr>
                <w:rFonts w:ascii="Arial" w:hAnsi="Arial"/>
                <w:sz w:val="20"/>
              </w:rPr>
              <w:t>Task Lifecycle</w:t>
            </w:r>
          </w:p>
        </w:tc>
        <w:tc>
          <w:tcPr>
            <w:tcW w:type="dxa" w:w="5472"/>
          </w:tcPr>
          <w:p>
            <w:r/>
            <w:r>
              <w:rPr>
                <w:rFonts w:ascii="Arial" w:hAnsi="Arial"/>
                <w:sz w:val="20"/>
              </w:rPr>
              <w:t>Task state changes (e.g., progress update, priority change)</w:t>
            </w:r>
          </w:p>
        </w:tc>
      </w:tr>
      <w:tr>
        <w:tc>
          <w:tcPr>
            <w:tcW w:type="dxa" w:w="2160"/>
          </w:tcPr>
          <w:p>
            <w:r/>
            <w:r>
              <w:rPr>
                <w:rFonts w:ascii="Arial" w:hAnsi="Arial"/>
                <w:sz w:val="20"/>
              </w:rPr>
              <w:t>task.completed</w:t>
            </w:r>
          </w:p>
        </w:tc>
        <w:tc>
          <w:tcPr>
            <w:tcW w:type="dxa" w:w="1728"/>
          </w:tcPr>
          <w:p>
            <w:r/>
            <w:r>
              <w:rPr>
                <w:rFonts w:ascii="Arial" w:hAnsi="Arial"/>
                <w:sz w:val="20"/>
              </w:rPr>
              <w:t>Task Lifecycle</w:t>
            </w:r>
          </w:p>
        </w:tc>
        <w:tc>
          <w:tcPr>
            <w:tcW w:type="dxa" w:w="5472"/>
          </w:tcPr>
          <w:p>
            <w:r/>
            <w:r>
              <w:rPr>
                <w:rFonts w:ascii="Arial" w:hAnsi="Arial"/>
                <w:sz w:val="20"/>
              </w:rPr>
              <w:t>Agent finishes a task successfully</w:t>
            </w:r>
          </w:p>
        </w:tc>
      </w:tr>
      <w:tr>
        <w:tc>
          <w:tcPr>
            <w:tcW w:type="dxa" w:w="2160"/>
          </w:tcPr>
          <w:p>
            <w:r/>
            <w:r>
              <w:rPr>
                <w:rFonts w:ascii="Arial" w:hAnsi="Arial"/>
                <w:sz w:val="20"/>
              </w:rPr>
              <w:t>task.failed</w:t>
            </w:r>
          </w:p>
        </w:tc>
        <w:tc>
          <w:tcPr>
            <w:tcW w:type="dxa" w:w="1728"/>
          </w:tcPr>
          <w:p>
            <w:r/>
            <w:r>
              <w:rPr>
                <w:rFonts w:ascii="Arial" w:hAnsi="Arial"/>
                <w:sz w:val="20"/>
              </w:rPr>
              <w:t>Task Lifecycle</w:t>
            </w:r>
          </w:p>
        </w:tc>
        <w:tc>
          <w:tcPr>
            <w:tcW w:type="dxa" w:w="5472"/>
          </w:tcPr>
          <w:p>
            <w:r/>
            <w:r>
              <w:rPr>
                <w:rFonts w:ascii="Arial" w:hAnsi="Arial"/>
                <w:sz w:val="20"/>
              </w:rPr>
              <w:t>Agent fails to complete a task</w:t>
            </w:r>
          </w:p>
        </w:tc>
      </w:tr>
      <w:tr>
        <w:tc>
          <w:tcPr>
            <w:tcW w:type="dxa" w:w="2160"/>
          </w:tcPr>
          <w:p>
            <w:r/>
            <w:r>
              <w:rPr>
                <w:rFonts w:ascii="Arial" w:hAnsi="Arial"/>
                <w:sz w:val="20"/>
              </w:rPr>
              <w:t>tool.called</w:t>
            </w:r>
          </w:p>
        </w:tc>
        <w:tc>
          <w:tcPr>
            <w:tcW w:type="dxa" w:w="1728"/>
          </w:tcPr>
          <w:p>
            <w:r/>
            <w:r>
              <w:rPr>
                <w:rFonts w:ascii="Arial" w:hAnsi="Arial"/>
                <w:sz w:val="20"/>
              </w:rPr>
              <w:t>Tool Usage</w:t>
            </w:r>
          </w:p>
        </w:tc>
        <w:tc>
          <w:tcPr>
            <w:tcW w:type="dxa" w:w="5472"/>
          </w:tcPr>
          <w:p>
            <w:r/>
            <w:r>
              <w:rPr>
                <w:rFonts w:ascii="Arial" w:hAnsi="Arial"/>
                <w:sz w:val="20"/>
              </w:rPr>
              <w:t>Agent invokes an external tool or API</w:t>
            </w:r>
          </w:p>
        </w:tc>
      </w:tr>
      <w:tr>
        <w:tc>
          <w:tcPr>
            <w:tcW w:type="dxa" w:w="2160"/>
          </w:tcPr>
          <w:p>
            <w:r/>
            <w:r>
              <w:rPr>
                <w:rFonts w:ascii="Arial" w:hAnsi="Arial"/>
                <w:sz w:val="20"/>
              </w:rPr>
              <w:t>tool.result</w:t>
            </w:r>
          </w:p>
        </w:tc>
        <w:tc>
          <w:tcPr>
            <w:tcW w:type="dxa" w:w="1728"/>
          </w:tcPr>
          <w:p>
            <w:r/>
            <w:r>
              <w:rPr>
                <w:rFonts w:ascii="Arial" w:hAnsi="Arial"/>
                <w:sz w:val="20"/>
              </w:rPr>
              <w:t>Tool Usage</w:t>
            </w:r>
          </w:p>
        </w:tc>
        <w:tc>
          <w:tcPr>
            <w:tcW w:type="dxa" w:w="5472"/>
          </w:tcPr>
          <w:p>
            <w:r/>
            <w:r>
              <w:rPr>
                <w:rFonts w:ascii="Arial" w:hAnsi="Arial"/>
                <w:sz w:val="20"/>
              </w:rPr>
              <w:t>Agent receives a response from a tool</w:t>
            </w:r>
          </w:p>
        </w:tc>
      </w:tr>
      <w:tr>
        <w:tc>
          <w:tcPr>
            <w:tcW w:type="dxa" w:w="2160"/>
          </w:tcPr>
          <w:p>
            <w:r/>
            <w:r>
              <w:rPr>
                <w:rFonts w:ascii="Arial" w:hAnsi="Arial"/>
                <w:sz w:val="20"/>
              </w:rPr>
              <w:t>memory.read</w:t>
            </w:r>
          </w:p>
        </w:tc>
        <w:tc>
          <w:tcPr>
            <w:tcW w:type="dxa" w:w="1728"/>
          </w:tcPr>
          <w:p>
            <w:r/>
            <w:r>
              <w:rPr>
                <w:rFonts w:ascii="Arial" w:hAnsi="Arial"/>
                <w:sz w:val="20"/>
              </w:rPr>
              <w:t>Memory</w:t>
            </w:r>
          </w:p>
        </w:tc>
        <w:tc>
          <w:tcPr>
            <w:tcW w:type="dxa" w:w="5472"/>
          </w:tcPr>
          <w:p>
            <w:r/>
            <w:r>
              <w:rPr>
                <w:rFonts w:ascii="Arial" w:hAnsi="Arial"/>
                <w:sz w:val="20"/>
              </w:rPr>
              <w:t>Agent reads from a knowledge base or context store</w:t>
            </w:r>
          </w:p>
        </w:tc>
      </w:tr>
      <w:tr>
        <w:tc>
          <w:tcPr>
            <w:tcW w:type="dxa" w:w="2160"/>
          </w:tcPr>
          <w:p>
            <w:r/>
            <w:r>
              <w:rPr>
                <w:rFonts w:ascii="Arial" w:hAnsi="Arial"/>
                <w:sz w:val="20"/>
              </w:rPr>
              <w:t>memory.write</w:t>
            </w:r>
          </w:p>
        </w:tc>
        <w:tc>
          <w:tcPr>
            <w:tcW w:type="dxa" w:w="1728"/>
          </w:tcPr>
          <w:p>
            <w:r/>
            <w:r>
              <w:rPr>
                <w:rFonts w:ascii="Arial" w:hAnsi="Arial"/>
                <w:sz w:val="20"/>
              </w:rPr>
              <w:t>Memory</w:t>
            </w:r>
          </w:p>
        </w:tc>
        <w:tc>
          <w:tcPr>
            <w:tcW w:type="dxa" w:w="5472"/>
          </w:tcPr>
          <w:p>
            <w:r/>
            <w:r>
              <w:rPr>
                <w:rFonts w:ascii="Arial" w:hAnsi="Arial"/>
                <w:sz w:val="20"/>
              </w:rPr>
              <w:t>Agent writes to a knowledge base or context store</w:t>
            </w:r>
          </w:p>
        </w:tc>
      </w:tr>
      <w:tr>
        <w:tc>
          <w:tcPr>
            <w:tcW w:type="dxa" w:w="2160"/>
          </w:tcPr>
          <w:p>
            <w:r/>
            <w:r>
              <w:rPr>
                <w:rFonts w:ascii="Arial" w:hAnsi="Arial"/>
                <w:sz w:val="20"/>
              </w:rPr>
              <w:t>handoff.started</w:t>
            </w:r>
          </w:p>
        </w:tc>
        <w:tc>
          <w:tcPr>
            <w:tcW w:type="dxa" w:w="1728"/>
          </w:tcPr>
          <w:p>
            <w:r/>
            <w:r>
              <w:rPr>
                <w:rFonts w:ascii="Arial" w:hAnsi="Arial"/>
                <w:sz w:val="20"/>
              </w:rPr>
              <w:t>Handoff</w:t>
            </w:r>
          </w:p>
        </w:tc>
        <w:tc>
          <w:tcPr>
            <w:tcW w:type="dxa" w:w="5472"/>
          </w:tcPr>
          <w:p>
            <w:r/>
            <w:r>
              <w:rPr>
                <w:rFonts w:ascii="Arial" w:hAnsi="Arial"/>
                <w:sz w:val="20"/>
              </w:rPr>
              <w:t>Agent begins transferring control to another agent or team</w:t>
            </w:r>
          </w:p>
        </w:tc>
      </w:tr>
      <w:tr>
        <w:tc>
          <w:tcPr>
            <w:tcW w:type="dxa" w:w="2160"/>
          </w:tcPr>
          <w:p>
            <w:r/>
            <w:r>
              <w:rPr>
                <w:rFonts w:ascii="Arial" w:hAnsi="Arial"/>
                <w:sz w:val="20"/>
              </w:rPr>
              <w:t>handoff.completed</w:t>
            </w:r>
          </w:p>
        </w:tc>
        <w:tc>
          <w:tcPr>
            <w:tcW w:type="dxa" w:w="1728"/>
          </w:tcPr>
          <w:p>
            <w:r/>
            <w:r>
              <w:rPr>
                <w:rFonts w:ascii="Arial" w:hAnsi="Arial"/>
                <w:sz w:val="20"/>
              </w:rPr>
              <w:t>Handoff</w:t>
            </w:r>
          </w:p>
        </w:tc>
        <w:tc>
          <w:tcPr>
            <w:tcW w:type="dxa" w:w="5472"/>
          </w:tcPr>
          <w:p>
            <w:r/>
            <w:r>
              <w:rPr>
                <w:rFonts w:ascii="Arial" w:hAnsi="Arial"/>
                <w:sz w:val="20"/>
              </w:rPr>
              <w:t>Handoff is acknowledged or completed</w:t>
            </w:r>
          </w:p>
        </w:tc>
      </w:tr>
      <w:tr>
        <w:tc>
          <w:tcPr>
            <w:tcW w:type="dxa" w:w="2160"/>
          </w:tcPr>
          <w:p>
            <w:r/>
            <w:r>
              <w:rPr>
                <w:rFonts w:ascii="Arial" w:hAnsi="Arial"/>
                <w:sz w:val="20"/>
              </w:rPr>
              <w:t>policy.blocked</w:t>
            </w:r>
          </w:p>
        </w:tc>
        <w:tc>
          <w:tcPr>
            <w:tcW w:type="dxa" w:w="1728"/>
          </w:tcPr>
          <w:p>
            <w:r/>
            <w:r>
              <w:rPr>
                <w:rFonts w:ascii="Arial" w:hAnsi="Arial"/>
                <w:sz w:val="20"/>
              </w:rPr>
              <w:t>Governance</w:t>
            </w:r>
          </w:p>
        </w:tc>
        <w:tc>
          <w:tcPr>
            <w:tcW w:type="dxa" w:w="5472"/>
          </w:tcPr>
          <w:p>
            <w:r/>
            <w:r>
              <w:rPr>
                <w:rFonts w:ascii="Arial" w:hAnsi="Arial"/>
                <w:sz w:val="20"/>
              </w:rPr>
              <w:t>A policy or guardrail prevents an action</w:t>
            </w:r>
          </w:p>
        </w:tc>
      </w:tr>
      <w:tr>
        <w:tc>
          <w:tcPr>
            <w:tcW w:type="dxa" w:w="2160"/>
          </w:tcPr>
          <w:p>
            <w:r/>
            <w:r>
              <w:rPr>
                <w:rFonts w:ascii="Arial" w:hAnsi="Arial"/>
                <w:sz w:val="20"/>
              </w:rPr>
              <w:t>error.raised</w:t>
            </w:r>
          </w:p>
        </w:tc>
        <w:tc>
          <w:tcPr>
            <w:tcW w:type="dxa" w:w="1728"/>
          </w:tcPr>
          <w:p>
            <w:r/>
            <w:r>
              <w:rPr>
                <w:rFonts w:ascii="Arial" w:hAnsi="Arial"/>
                <w:sz w:val="20"/>
              </w:rPr>
              <w:t>Error</w:t>
            </w:r>
          </w:p>
        </w:tc>
        <w:tc>
          <w:tcPr>
            <w:tcW w:type="dxa" w:w="5472"/>
          </w:tcPr>
          <w:p>
            <w:r/>
            <w:r>
              <w:rPr>
                <w:rFonts w:ascii="Arial" w:hAnsi="Arial"/>
                <w:sz w:val="20"/>
              </w:rPr>
              <w:t>An unexpected error occurs during processing</w:t>
            </w:r>
          </w:p>
        </w:tc>
      </w:tr>
    </w:tbl>
    <w:p/>
    <w:p>
      <w:pPr>
        <w:pStyle w:val="Heading1"/>
      </w:pPr>
      <w:r>
        <w:t>6. Integration Steps</w:t>
      </w:r>
    </w:p>
    <w:p>
      <w:pPr>
        <w:spacing w:after="120"/>
      </w:pPr>
      <w:r>
        <w:rPr>
          <w:b w:val="0"/>
        </w:rPr>
        <w:t>Integrating AEP into an existing agent requires three things: generating session identifiers at startup, emitting events at key decision points, and chaining events together with causation_id.</w:t>
      </w:r>
    </w:p>
    <w:p>
      <w:pPr>
        <w:pStyle w:val="Heading2"/>
      </w:pPr>
      <w:r>
        <w:t>Step 1: Generate Session Identifiers</w:t>
      </w:r>
    </w:p>
    <w:p>
      <w:pPr>
        <w:spacing w:after="120"/>
      </w:pPr>
      <w:r>
        <w:rPr>
          <w:b w:val="0"/>
        </w:rPr>
        <w:t>At the start of every agent run (or conversation), generate a session_id and trace_id. All events in this run will share these two values, which is what ties them together in the dashboard.</w:t>
      </w:r>
    </w:p>
    <w:p>
      <w:pPr>
        <w:pStyle w:val="CodeBlock"/>
        <w:shd w:val="clear" w:color="auto" w:fill="F5F5F5"/>
      </w:pPr>
      <w:r>
        <w:t>const sessionId = `ses_myagent_${Date.now()}`;</w:t>
      </w:r>
    </w:p>
    <w:p>
      <w:pPr>
        <w:pStyle w:val="CodeBlock"/>
        <w:shd w:val="clear" w:color="auto" w:fill="F5F5F5"/>
      </w:pPr>
      <w:r>
        <w:t>const traceId  = `trc_myagent_${Date.now()}`;</w:t>
      </w:r>
    </w:p>
    <w:p>
      <w:pPr>
        <w:spacing w:after="160"/>
      </w:pPr>
      <w:r>
        <w:rPr>
          <w:b/>
          <w:color w:val="166534"/>
          <w:sz w:val="20"/>
        </w:rPr>
        <w:t xml:space="preserve">ℹ  Note: </w:t>
      </w:r>
      <w:r>
        <w:rPr>
          <w:color w:val="4C5F52"/>
          <w:sz w:val="20"/>
        </w:rPr>
        <w:t>You can use any string format you like. The demos use a prefix + timestamp pattern for readability, but UUIDs work equally well.</w:t>
      </w:r>
    </w:p>
    <w:p>
      <w:pPr>
        <w:pStyle w:val="Heading2"/>
      </w:pPr>
      <w:r>
        <w:t>Step 2: Emit Events at Key Moments</w:t>
      </w:r>
    </w:p>
    <w:p>
      <w:pPr>
        <w:spacing w:after="120"/>
      </w:pPr>
      <w:r>
        <w:rPr>
          <w:b w:val="0"/>
        </w:rPr>
        <w:t>Wherever your agent performs a meaningful action (receives a task, calls a tool, reads memory, etc.), construct an event and POST it to the /events endpoint. The next section provides a ready-made helper function.</w:t>
      </w:r>
    </w:p>
    <w:p>
      <w:pPr>
        <w:pStyle w:val="Heading2"/>
      </w:pPr>
      <w:r>
        <w:t>Step 3: Chain Events with causation_id</w:t>
      </w:r>
    </w:p>
    <w:p>
      <w:pPr>
        <w:spacing w:after="120"/>
      </w:pPr>
      <w:r>
        <w:rPr>
          <w:b w:val="0"/>
        </w:rPr>
        <w:t>When one event directly causes the next, pass the first event’s id as the causation_id of the second. This creates a causal chain that the dashboard renders as a connected timeline.</w:t>
      </w:r>
    </w:p>
    <w:p>
      <w:pPr>
        <w:pStyle w:val="Heading1"/>
      </w:pPr>
      <w:r>
        <w:t>7. The emit() Helper Function</w:t>
      </w:r>
    </w:p>
    <w:p>
      <w:pPr>
        <w:spacing w:after="120"/>
      </w:pPr>
      <w:r>
        <w:rPr>
          <w:b w:val="0"/>
        </w:rPr>
        <w:t>Below is a minimal helper function you can drop into any Node.js agent. It handles event construction, UUID generation, timestamping, and the HTTP POST to the ingest server.</w:t>
      </w:r>
    </w:p>
    <w:p>
      <w:pPr>
        <w:pStyle w:val="Heading2"/>
      </w:pPr>
      <w:r>
        <w:t>JavaScript / Node.js</w:t>
      </w:r>
    </w:p>
    <w:p>
      <w:pPr>
        <w:pStyle w:val="CodeBlock"/>
        <w:shd w:val="clear" w:color="auto" w:fill="F5F5F5"/>
      </w:pPr>
      <w:r>
        <w:t>const crypto = require("crypto");</w:t>
        <w:br/>
        <w:br/>
        <w:t>const AEP_URL = process.env.AEP_INGEST_URL || "http://localhost:8787";</w:t>
        <w:br/>
        <w:t>const SOURCE  = "agent://my-agent";  // your agent's identifier</w:t>
        <w:br/>
        <w:br/>
        <w:t>// Set these at the start of each run</w:t>
        <w:br/>
        <w:t>let sessionId, traceId;</w:t>
        <w:br/>
        <w:br/>
        <w:t>function initSession() {</w:t>
        <w:br/>
        <w:t xml:space="preserve">  sessionId = `ses_${crypto.randomUUID()}`;</w:t>
        <w:br/>
        <w:t xml:space="preserve">  traceId   = `trc_${crypto.randomUUID()}`;</w:t>
        <w:br/>
        <w:t>}</w:t>
        <w:br/>
        <w:br/>
        <w:t>async function emit(type, payload, causationId = null) {</w:t>
        <w:br/>
        <w:t xml:space="preserve">  const event = {</w:t>
        <w:br/>
        <w:t xml:space="preserve">    specversion: "0.1.0",</w:t>
        <w:br/>
        <w:t xml:space="preserve">    id: `evt_${crypto.randomUUID().replace(/-/g, "")}`,</w:t>
        <w:br/>
        <w:t xml:space="preserve">    time: new Date().toISOString(),</w:t>
        <w:br/>
        <w:t xml:space="preserve">    source: SOURCE,</w:t>
        <w:br/>
        <w:t xml:space="preserve">    type,</w:t>
        <w:br/>
        <w:t xml:space="preserve">    session_id: sessionId,</w:t>
        <w:br/>
        <w:t xml:space="preserve">    trace_id: traceId,</w:t>
        <w:br/>
        <w:t xml:space="preserve">    payload</w:t>
        <w:br/>
        <w:t xml:space="preserve">  };</w:t>
        <w:br/>
        <w:t xml:space="preserve">  if (causationId) event.causation_id = causationId;</w:t>
        <w:br/>
        <w:br/>
        <w:t xml:space="preserve">  const res = await fetch(`${AEP_URL}/events`, {</w:t>
        <w:br/>
        <w:t xml:space="preserve">    method: "POST",</w:t>
        <w:br/>
        <w:t xml:space="preserve">    headers: { "Content-Type": "application/json" },</w:t>
        <w:br/>
        <w:t xml:space="preserve">    body: JSON.stringify(event)</w:t>
        <w:br/>
        <w:t xml:space="preserve">  });</w:t>
        <w:br/>
        <w:t xml:space="preserve">  const body = await res.json();</w:t>
        <w:br/>
        <w:t xml:space="preserve">  return { ...body, eventId: event.id };</w:t>
        <w:br/>
        <w:t>}</w:t>
      </w:r>
    </w:p>
    <w:p>
      <w:pPr>
        <w:pStyle w:val="Heading2"/>
      </w:pPr>
      <w:r>
        <w:t>Python</w:t>
      </w:r>
    </w:p>
    <w:p>
      <w:pPr>
        <w:pStyle w:val="CodeBlock"/>
        <w:shd w:val="clear" w:color="auto" w:fill="F5F5F5"/>
      </w:pPr>
      <w:r>
        <w:t>import uuid, datetime, os, requests</w:t>
        <w:br/>
        <w:br/>
        <w:t>AEP_URL = os.getenv("AEP_INGEST_URL", "http://localhost:8787")</w:t>
        <w:br/>
        <w:t>SOURCE  = "agent://my-agent"</w:t>
        <w:br/>
        <w:br/>
        <w:t>session_id = None</w:t>
        <w:br/>
        <w:t>trace_id   = None</w:t>
        <w:br/>
        <w:br/>
        <w:t>def init_session():</w:t>
        <w:br/>
        <w:t xml:space="preserve">    global session_id, trace_id</w:t>
        <w:br/>
        <w:t xml:space="preserve">    session_id = f"ses_{uuid.uuid4()}"</w:t>
        <w:br/>
        <w:t xml:space="preserve">    trace_id   = f"trc_{uuid.uuid4()}"</w:t>
        <w:br/>
        <w:br/>
        <w:t>def emit(event_type, payload, causation_id=None):</w:t>
        <w:br/>
        <w:t xml:space="preserve">    event = {</w:t>
        <w:br/>
        <w:t xml:space="preserve">        "specversion": "0.1.0",</w:t>
        <w:br/>
        <w:t xml:space="preserve">        "id": f"evt_{uuid.uuid4().hex}",</w:t>
        <w:br/>
        <w:t xml:space="preserve">        "time": datetime.datetime.utcnow().isoformat() + "Z",</w:t>
        <w:br/>
        <w:t xml:space="preserve">        "source": SOURCE,</w:t>
        <w:br/>
        <w:t xml:space="preserve">        "type": event_type,</w:t>
        <w:br/>
        <w:t xml:space="preserve">        "session_id": session_id,</w:t>
        <w:br/>
        <w:t xml:space="preserve">        "trace_id": trace_id,</w:t>
        <w:br/>
        <w:t xml:space="preserve">        "payload": payload</w:t>
        <w:br/>
        <w:t xml:space="preserve">    }</w:t>
        <w:br/>
        <w:t xml:space="preserve">    if causation_id:</w:t>
        <w:br/>
        <w:t xml:space="preserve">        event["causation_id"] = causation_id</w:t>
        <w:br/>
        <w:t xml:space="preserve">    resp = requests.post(f"{AEP_URL}/events", json=event)</w:t>
        <w:br/>
        <w:t xml:space="preserve">    body = resp.json()</w:t>
        <w:br/>
        <w:t xml:space="preserve">    return {**body, "eventId": event["id"]}</w:t>
      </w:r>
    </w:p>
    <w:p>
      <w:pPr>
        <w:spacing w:after="160"/>
      </w:pPr>
      <w:r>
        <w:rPr>
          <w:b/>
          <w:color w:val="166534"/>
          <w:sz w:val="20"/>
        </w:rPr>
        <w:t xml:space="preserve">ℹ  Note: </w:t>
      </w:r>
      <w:r>
        <w:rPr>
          <w:color w:val="4C5F52"/>
          <w:sz w:val="20"/>
        </w:rPr>
        <w:t>For other languages (Go, Rust, Java, etc.), the pattern is identical: construct a JSON object matching the envelope schema and POST it to /events.</w:t>
      </w:r>
    </w:p>
    <w:p>
      <w:pPr>
        <w:pStyle w:val="Heading1"/>
      </w:pPr>
      <w:r>
        <w:t>8. Chaining Events with causation_id</w:t>
      </w:r>
    </w:p>
    <w:p>
      <w:pPr>
        <w:spacing w:after="120"/>
      </w:pPr>
      <w:r>
        <w:rPr>
          <w:b w:val="0"/>
        </w:rPr>
        <w:t>The causation_id field is the key to building a readable event timeline. Each time an event directly triggers the next action, pass the previous event’s id forward. Here’s what a typical chain looks like:</w:t>
      </w:r>
    </w:p>
    <w:p>
      <w:pPr>
        <w:pStyle w:val="CodeBlock"/>
        <w:shd w:val="clear" w:color="auto" w:fill="F5F5F5"/>
      </w:pPr>
      <w:r>
        <w:t>// 1. Agent receives a task</w:t>
        <w:br/>
        <w:t>const r1 = await emit("task.created", { task: "Summarize Q4 report" });</w:t>
        <w:br/>
        <w:br/>
        <w:t>// 2. Agent calls a tool, caused by the task</w:t>
        <w:br/>
        <w:t>const r2 = await emit("tool.called",</w:t>
        <w:br/>
        <w:t xml:space="preserve">  { tool_name: "doc_reader", arguments: { file: "q4.pdf" } },</w:t>
        <w:br/>
        <w:t xml:space="preserve">  r1.eventId  // &lt;-- chains to task.created</w:t>
        <w:br/>
        <w:t>);</w:t>
        <w:br/>
        <w:br/>
        <w:t>// 3. Tool returns a result</w:t>
        <w:br/>
        <w:t>const r3 = await emit("tool.result",</w:t>
        <w:br/>
        <w:t xml:space="preserve">  { tool_name: "doc_reader", output: { pages: 12, text: "..." } },</w:t>
        <w:br/>
        <w:t xml:space="preserve">  r2.eventId  // &lt;-- chains to tool.called</w:t>
        <w:br/>
        <w:t>);</w:t>
        <w:br/>
        <w:br/>
        <w:t>// 4. Agent completes the task</w:t>
        <w:br/>
        <w:t>const r4 = await emit("task.completed",</w:t>
        <w:br/>
        <w:t xml:space="preserve">  { summary: "Revenue grew 15% YoY..." },</w:t>
        <w:br/>
        <w:t xml:space="preserve">  r3.eventId  // &lt;-- chains to tool.result</w:t>
        <w:br/>
        <w:t>);</w:t>
      </w:r>
    </w:p>
    <w:p>
      <w:pPr>
        <w:spacing w:after="120"/>
      </w:pPr>
      <w:r>
        <w:rPr>
          <w:b w:val="0"/>
        </w:rPr>
        <w:t>In the dashboard, this chain renders as a connected timeline: task.created → tool.called → tool.result → task.completed, with full payload details at each step.</w:t>
      </w:r>
    </w:p>
    <w:p>
      <w:pPr>
        <w:pStyle w:val="Heading1"/>
      </w:pPr>
      <w:r>
        <w:t>9. Mapping Agent Actions to Event Types</w:t>
      </w:r>
    </w:p>
    <w:p>
      <w:pPr>
        <w:spacing w:after="120"/>
      </w:pPr>
      <w:r>
        <w:rPr>
          <w:b w:val="0"/>
        </w:rPr>
        <w:t>Use this table as a quick reference for deciding which event type to emit at each point in your agent’s logic.</w:t>
      </w:r>
    </w:p>
    <w:tbl>
      <w:tblPr>
        <w:tblStyle w:val="TableGrid"/>
        <w:tblW w:type="auto" w:w="0"/>
        <w:jc w:val="left"/>
        <w:tblLook w:firstColumn="1" w:firstRow="1" w:lastColumn="0" w:lastRow="0" w:noHBand="0" w:noVBand="1" w:val="04A0"/>
      </w:tblPr>
      <w:tblGrid>
        <w:gridCol w:w="3120"/>
        <w:gridCol w:w="3120"/>
        <w:gridCol w:w="3120"/>
      </w:tblGrid>
      <w:tr>
        <w:tc>
          <w:tcPr>
            <w:tcW w:type="dxa" w:w="3168"/>
            <w:shd w:val="clear" w:color="auto" w:fill="D5E8D4"/>
          </w:tcPr>
          <w:p>
            <w:r/>
            <w:r>
              <w:rPr>
                <w:rFonts w:ascii="Arial" w:hAnsi="Arial"/>
                <w:b/>
                <w:sz w:val="20"/>
              </w:rPr>
              <w:t>Your Agent Does This...</w:t>
            </w:r>
          </w:p>
        </w:tc>
        <w:tc>
          <w:tcPr>
            <w:tcW w:type="dxa" w:w="2016"/>
            <w:shd w:val="clear" w:color="auto" w:fill="D5E8D4"/>
          </w:tcPr>
          <w:p>
            <w:r/>
            <w:r>
              <w:rPr>
                <w:rFonts w:ascii="Arial" w:hAnsi="Arial"/>
                <w:b/>
                <w:sz w:val="20"/>
              </w:rPr>
              <w:t>Emit This Event</w:t>
            </w:r>
          </w:p>
        </w:tc>
        <w:tc>
          <w:tcPr>
            <w:tcW w:type="dxa" w:w="4176"/>
            <w:shd w:val="clear" w:color="auto" w:fill="D5E8D4"/>
          </w:tcPr>
          <w:p>
            <w:r/>
            <w:r>
              <w:rPr>
                <w:rFonts w:ascii="Arial" w:hAnsi="Arial"/>
                <w:b/>
                <w:sz w:val="20"/>
              </w:rPr>
              <w:t>Example Payload</w:t>
            </w:r>
          </w:p>
        </w:tc>
      </w:tr>
      <w:tr>
        <w:tc>
          <w:tcPr>
            <w:tcW w:type="dxa" w:w="3168"/>
          </w:tcPr>
          <w:p>
            <w:r/>
            <w:r>
              <w:rPr>
                <w:rFonts w:ascii="Arial" w:hAnsi="Arial"/>
                <w:sz w:val="20"/>
              </w:rPr>
              <w:t>Receives a user request or task</w:t>
            </w:r>
          </w:p>
        </w:tc>
        <w:tc>
          <w:tcPr>
            <w:tcW w:type="dxa" w:w="2016"/>
          </w:tcPr>
          <w:p>
            <w:r/>
            <w:r>
              <w:rPr>
                <w:rFonts w:ascii="Arial" w:hAnsi="Arial"/>
                <w:sz w:val="20"/>
              </w:rPr>
              <w:t>task.created</w:t>
            </w:r>
          </w:p>
        </w:tc>
        <w:tc>
          <w:tcPr>
            <w:tcW w:type="dxa" w:w="4176"/>
          </w:tcPr>
          <w:p>
            <w:r/>
            <w:r>
              <w:rPr>
                <w:rFonts w:ascii="Arial" w:hAnsi="Arial"/>
                <w:sz w:val="20"/>
              </w:rPr>
              <w:t>{ task: "...", priority: "high" }</w:t>
            </w:r>
          </w:p>
        </w:tc>
      </w:tr>
      <w:tr>
        <w:tc>
          <w:tcPr>
            <w:tcW w:type="dxa" w:w="3168"/>
          </w:tcPr>
          <w:p>
            <w:r/>
            <w:r>
              <w:rPr>
                <w:rFonts w:ascii="Arial" w:hAnsi="Arial"/>
                <w:sz w:val="20"/>
              </w:rPr>
              <w:t>Updates progress on a task</w:t>
            </w:r>
          </w:p>
        </w:tc>
        <w:tc>
          <w:tcPr>
            <w:tcW w:type="dxa" w:w="2016"/>
          </w:tcPr>
          <w:p>
            <w:r/>
            <w:r>
              <w:rPr>
                <w:rFonts w:ascii="Arial" w:hAnsi="Arial"/>
                <w:sz w:val="20"/>
              </w:rPr>
              <w:t>task.updated</w:t>
            </w:r>
          </w:p>
        </w:tc>
        <w:tc>
          <w:tcPr>
            <w:tcW w:type="dxa" w:w="4176"/>
          </w:tcPr>
          <w:p>
            <w:r/>
            <w:r>
              <w:rPr>
                <w:rFonts w:ascii="Arial" w:hAnsi="Arial"/>
                <w:sz w:val="20"/>
              </w:rPr>
              <w:t>{ status: "in_progress", progress: 50 }</w:t>
            </w:r>
          </w:p>
        </w:tc>
      </w:tr>
      <w:tr>
        <w:tc>
          <w:tcPr>
            <w:tcW w:type="dxa" w:w="3168"/>
          </w:tcPr>
          <w:p>
            <w:r/>
            <w:r>
              <w:rPr>
                <w:rFonts w:ascii="Arial" w:hAnsi="Arial"/>
                <w:sz w:val="20"/>
              </w:rPr>
              <w:t>Finishes a task successfully</w:t>
            </w:r>
          </w:p>
        </w:tc>
        <w:tc>
          <w:tcPr>
            <w:tcW w:type="dxa" w:w="2016"/>
          </w:tcPr>
          <w:p>
            <w:r/>
            <w:r>
              <w:rPr>
                <w:rFonts w:ascii="Arial" w:hAnsi="Arial"/>
                <w:sz w:val="20"/>
              </w:rPr>
              <w:t>task.completed</w:t>
            </w:r>
          </w:p>
        </w:tc>
        <w:tc>
          <w:tcPr>
            <w:tcW w:type="dxa" w:w="4176"/>
          </w:tcPr>
          <w:p>
            <w:r/>
            <w:r>
              <w:rPr>
                <w:rFonts w:ascii="Arial" w:hAnsi="Arial"/>
                <w:sz w:val="20"/>
              </w:rPr>
              <w:t>{ result: "...", duration_ms: 1200 }</w:t>
            </w:r>
          </w:p>
        </w:tc>
      </w:tr>
      <w:tr>
        <w:tc>
          <w:tcPr>
            <w:tcW w:type="dxa" w:w="3168"/>
          </w:tcPr>
          <w:p>
            <w:r/>
            <w:r>
              <w:rPr>
                <w:rFonts w:ascii="Arial" w:hAnsi="Arial"/>
                <w:sz w:val="20"/>
              </w:rPr>
              <w:t>Fails to complete a task</w:t>
            </w:r>
          </w:p>
        </w:tc>
        <w:tc>
          <w:tcPr>
            <w:tcW w:type="dxa" w:w="2016"/>
          </w:tcPr>
          <w:p>
            <w:r/>
            <w:r>
              <w:rPr>
                <w:rFonts w:ascii="Arial" w:hAnsi="Arial"/>
                <w:sz w:val="20"/>
              </w:rPr>
              <w:t>task.failed</w:t>
            </w:r>
          </w:p>
        </w:tc>
        <w:tc>
          <w:tcPr>
            <w:tcW w:type="dxa" w:w="4176"/>
          </w:tcPr>
          <w:p>
            <w:r/>
            <w:r>
              <w:rPr>
                <w:rFonts w:ascii="Arial" w:hAnsi="Arial"/>
                <w:sz w:val="20"/>
              </w:rPr>
              <w:t>{ error: "timeout", retryable: true }</w:t>
            </w:r>
          </w:p>
        </w:tc>
      </w:tr>
      <w:tr>
        <w:tc>
          <w:tcPr>
            <w:tcW w:type="dxa" w:w="3168"/>
          </w:tcPr>
          <w:p>
            <w:r/>
            <w:r>
              <w:rPr>
                <w:rFonts w:ascii="Arial" w:hAnsi="Arial"/>
                <w:sz w:val="20"/>
              </w:rPr>
              <w:t>Calls an external API or tool</w:t>
            </w:r>
          </w:p>
        </w:tc>
        <w:tc>
          <w:tcPr>
            <w:tcW w:type="dxa" w:w="2016"/>
          </w:tcPr>
          <w:p>
            <w:r/>
            <w:r>
              <w:rPr>
                <w:rFonts w:ascii="Arial" w:hAnsi="Arial"/>
                <w:sz w:val="20"/>
              </w:rPr>
              <w:t>tool.called</w:t>
            </w:r>
          </w:p>
        </w:tc>
        <w:tc>
          <w:tcPr>
            <w:tcW w:type="dxa" w:w="4176"/>
          </w:tcPr>
          <w:p>
            <w:r/>
            <w:r>
              <w:rPr>
                <w:rFonts w:ascii="Arial" w:hAnsi="Arial"/>
                <w:sz w:val="20"/>
              </w:rPr>
              <w:t>{ tool_name: "search", arguments: {...} }</w:t>
            </w:r>
          </w:p>
        </w:tc>
      </w:tr>
      <w:tr>
        <w:tc>
          <w:tcPr>
            <w:tcW w:type="dxa" w:w="3168"/>
          </w:tcPr>
          <w:p>
            <w:r/>
            <w:r>
              <w:rPr>
                <w:rFonts w:ascii="Arial" w:hAnsi="Arial"/>
                <w:sz w:val="20"/>
              </w:rPr>
              <w:t>Gets a response from a tool</w:t>
            </w:r>
          </w:p>
        </w:tc>
        <w:tc>
          <w:tcPr>
            <w:tcW w:type="dxa" w:w="2016"/>
          </w:tcPr>
          <w:p>
            <w:r/>
            <w:r>
              <w:rPr>
                <w:rFonts w:ascii="Arial" w:hAnsi="Arial"/>
                <w:sz w:val="20"/>
              </w:rPr>
              <w:t>tool.result</w:t>
            </w:r>
          </w:p>
        </w:tc>
        <w:tc>
          <w:tcPr>
            <w:tcW w:type="dxa" w:w="4176"/>
          </w:tcPr>
          <w:p>
            <w:r/>
            <w:r>
              <w:rPr>
                <w:rFonts w:ascii="Arial" w:hAnsi="Arial"/>
                <w:sz w:val="20"/>
              </w:rPr>
              <w:t>{ tool_name: "search", output: {...} }</w:t>
            </w:r>
          </w:p>
        </w:tc>
      </w:tr>
      <w:tr>
        <w:tc>
          <w:tcPr>
            <w:tcW w:type="dxa" w:w="3168"/>
          </w:tcPr>
          <w:p>
            <w:r/>
            <w:r>
              <w:rPr>
                <w:rFonts w:ascii="Arial" w:hAnsi="Arial"/>
                <w:sz w:val="20"/>
              </w:rPr>
              <w:t>Reads from knowledge base</w:t>
            </w:r>
          </w:p>
        </w:tc>
        <w:tc>
          <w:tcPr>
            <w:tcW w:type="dxa" w:w="2016"/>
          </w:tcPr>
          <w:p>
            <w:r/>
            <w:r>
              <w:rPr>
                <w:rFonts w:ascii="Arial" w:hAnsi="Arial"/>
                <w:sz w:val="20"/>
              </w:rPr>
              <w:t>memory.read</w:t>
            </w:r>
          </w:p>
        </w:tc>
        <w:tc>
          <w:tcPr>
            <w:tcW w:type="dxa" w:w="4176"/>
          </w:tcPr>
          <w:p>
            <w:r/>
            <w:r>
              <w:rPr>
                <w:rFonts w:ascii="Arial" w:hAnsi="Arial"/>
                <w:sz w:val="20"/>
              </w:rPr>
              <w:t>{ source: "kb", query: "..." }</w:t>
            </w:r>
          </w:p>
        </w:tc>
      </w:tr>
      <w:tr>
        <w:tc>
          <w:tcPr>
            <w:tcW w:type="dxa" w:w="3168"/>
          </w:tcPr>
          <w:p>
            <w:r/>
            <w:r>
              <w:rPr>
                <w:rFonts w:ascii="Arial" w:hAnsi="Arial"/>
                <w:sz w:val="20"/>
              </w:rPr>
              <w:t>Stores something in memory</w:t>
            </w:r>
          </w:p>
        </w:tc>
        <w:tc>
          <w:tcPr>
            <w:tcW w:type="dxa" w:w="2016"/>
          </w:tcPr>
          <w:p>
            <w:r/>
            <w:r>
              <w:rPr>
                <w:rFonts w:ascii="Arial" w:hAnsi="Arial"/>
                <w:sz w:val="20"/>
              </w:rPr>
              <w:t>memory.write</w:t>
            </w:r>
          </w:p>
        </w:tc>
        <w:tc>
          <w:tcPr>
            <w:tcW w:type="dxa" w:w="4176"/>
          </w:tcPr>
          <w:p>
            <w:r/>
            <w:r>
              <w:rPr>
                <w:rFonts w:ascii="Arial" w:hAnsi="Arial"/>
                <w:sz w:val="20"/>
              </w:rPr>
              <w:t>{ key: "summary", value: "..." }</w:t>
            </w:r>
          </w:p>
        </w:tc>
      </w:tr>
      <w:tr>
        <w:tc>
          <w:tcPr>
            <w:tcW w:type="dxa" w:w="3168"/>
          </w:tcPr>
          <w:p>
            <w:r/>
            <w:r>
              <w:rPr>
                <w:rFonts w:ascii="Arial" w:hAnsi="Arial"/>
                <w:sz w:val="20"/>
              </w:rPr>
              <w:t>Hands off to another agent</w:t>
            </w:r>
          </w:p>
        </w:tc>
        <w:tc>
          <w:tcPr>
            <w:tcW w:type="dxa" w:w="2016"/>
          </w:tcPr>
          <w:p>
            <w:r/>
            <w:r>
              <w:rPr>
                <w:rFonts w:ascii="Arial" w:hAnsi="Arial"/>
                <w:sz w:val="20"/>
              </w:rPr>
              <w:t>handoff.started</w:t>
            </w:r>
          </w:p>
        </w:tc>
        <w:tc>
          <w:tcPr>
            <w:tcW w:type="dxa" w:w="4176"/>
          </w:tcPr>
          <w:p>
            <w:r/>
            <w:r>
              <w:rPr>
                <w:rFonts w:ascii="Arial" w:hAnsi="Arial"/>
                <w:sz w:val="20"/>
              </w:rPr>
              <w:t>{ to_agent: "specialist", reason: "..." }</w:t>
            </w:r>
          </w:p>
        </w:tc>
      </w:tr>
      <w:tr>
        <w:tc>
          <w:tcPr>
            <w:tcW w:type="dxa" w:w="3168"/>
          </w:tcPr>
          <w:p>
            <w:r/>
            <w:r>
              <w:rPr>
                <w:rFonts w:ascii="Arial" w:hAnsi="Arial"/>
                <w:sz w:val="20"/>
              </w:rPr>
              <w:t>Handoff is acknowledged</w:t>
            </w:r>
          </w:p>
        </w:tc>
        <w:tc>
          <w:tcPr>
            <w:tcW w:type="dxa" w:w="2016"/>
          </w:tcPr>
          <w:p>
            <w:r/>
            <w:r>
              <w:rPr>
                <w:rFonts w:ascii="Arial" w:hAnsi="Arial"/>
                <w:sz w:val="20"/>
              </w:rPr>
              <w:t>handoff.completed</w:t>
            </w:r>
          </w:p>
        </w:tc>
        <w:tc>
          <w:tcPr>
            <w:tcW w:type="dxa" w:w="4176"/>
          </w:tcPr>
          <w:p>
            <w:r/>
            <w:r>
              <w:rPr>
                <w:rFonts w:ascii="Arial" w:hAnsi="Arial"/>
                <w:sz w:val="20"/>
              </w:rPr>
              <w:t>{ from_agent: "specialist" }</w:t>
            </w:r>
          </w:p>
        </w:tc>
      </w:tr>
      <w:tr>
        <w:tc>
          <w:tcPr>
            <w:tcW w:type="dxa" w:w="3168"/>
          </w:tcPr>
          <w:p>
            <w:r/>
            <w:r>
              <w:rPr>
                <w:rFonts w:ascii="Arial" w:hAnsi="Arial"/>
                <w:sz w:val="20"/>
              </w:rPr>
              <w:t>A guardrail blocks an action</w:t>
            </w:r>
          </w:p>
        </w:tc>
        <w:tc>
          <w:tcPr>
            <w:tcW w:type="dxa" w:w="2016"/>
          </w:tcPr>
          <w:p>
            <w:r/>
            <w:r>
              <w:rPr>
                <w:rFonts w:ascii="Arial" w:hAnsi="Arial"/>
                <w:sz w:val="20"/>
              </w:rPr>
              <w:t>policy.blocked</w:t>
            </w:r>
          </w:p>
        </w:tc>
        <w:tc>
          <w:tcPr>
            <w:tcW w:type="dxa" w:w="4176"/>
          </w:tcPr>
          <w:p>
            <w:r/>
            <w:r>
              <w:rPr>
                <w:rFonts w:ascii="Arial" w:hAnsi="Arial"/>
                <w:sz w:val="20"/>
              </w:rPr>
              <w:t>{ policy: "...", reason: "..." }</w:t>
            </w:r>
          </w:p>
        </w:tc>
      </w:tr>
      <w:tr>
        <w:tc>
          <w:tcPr>
            <w:tcW w:type="dxa" w:w="3168"/>
          </w:tcPr>
          <w:p>
            <w:r/>
            <w:r>
              <w:rPr>
                <w:rFonts w:ascii="Arial" w:hAnsi="Arial"/>
                <w:sz w:val="20"/>
              </w:rPr>
              <w:t>An unexpected error occurs</w:t>
            </w:r>
          </w:p>
        </w:tc>
        <w:tc>
          <w:tcPr>
            <w:tcW w:type="dxa" w:w="2016"/>
          </w:tcPr>
          <w:p>
            <w:r/>
            <w:r>
              <w:rPr>
                <w:rFonts w:ascii="Arial" w:hAnsi="Arial"/>
                <w:sz w:val="20"/>
              </w:rPr>
              <w:t>error.raised</w:t>
            </w:r>
          </w:p>
        </w:tc>
        <w:tc>
          <w:tcPr>
            <w:tcW w:type="dxa" w:w="4176"/>
          </w:tcPr>
          <w:p>
            <w:r/>
            <w:r>
              <w:rPr>
                <w:rFonts w:ascii="Arial" w:hAnsi="Arial"/>
                <w:sz w:val="20"/>
              </w:rPr>
              <w:t>{ error: "...", stack: "..." }</w:t>
            </w:r>
          </w:p>
        </w:tc>
      </w:tr>
    </w:tbl>
    <w:p/>
    <w:p>
      <w:pPr>
        <w:pStyle w:val="Heading1"/>
      </w:pPr>
      <w:r>
        <w:t>10. Full Integration Example</w:t>
      </w:r>
    </w:p>
    <w:p>
      <w:pPr>
        <w:spacing w:after="120"/>
      </w:pPr>
      <w:r>
        <w:rPr>
          <w:b w:val="0"/>
        </w:rPr>
        <w:t>Here is a complete, runnable example of a support agent that integrates AEP. This mirrors the support-agent-demo.js included in the repository.</w:t>
      </w:r>
    </w:p>
    <w:p>
      <w:pPr>
        <w:pStyle w:val="CodeBlock"/>
        <w:shd w:val="clear" w:color="auto" w:fill="F5F5F5"/>
      </w:pPr>
      <w:r>
        <w:t>const crypto = require("crypto");</w:t>
        <w:br/>
        <w:br/>
        <w:t>const AEP_URL = "http://localhost:8787";</w:t>
        <w:br/>
        <w:t>const SOURCE  = "agent://support-agent";</w:t>
        <w:br/>
        <w:t>const sessionId = `ses_support_${Date.now()}`;</w:t>
        <w:br/>
        <w:t>const traceId   = `trc_support_${Date.now()}`;</w:t>
        <w:br/>
        <w:br/>
        <w:t>async function emit(type, payload, causationId = null) {</w:t>
        <w:br/>
        <w:t xml:space="preserve">  const event = {</w:t>
        <w:br/>
        <w:t xml:space="preserve">    specversion: "0.1.0",</w:t>
        <w:br/>
        <w:t xml:space="preserve">    id: `evt_${crypto.randomUUID().replace(/-/g, "")}`,</w:t>
        <w:br/>
        <w:t xml:space="preserve">    time: new Date().toISOString(),</w:t>
        <w:br/>
        <w:t xml:space="preserve">    source: SOURCE,</w:t>
        <w:br/>
        <w:t xml:space="preserve">    type,</w:t>
        <w:br/>
        <w:t xml:space="preserve">    session_id: sessionId,</w:t>
        <w:br/>
        <w:t xml:space="preserve">    trace_id: traceId,</w:t>
        <w:br/>
        <w:t xml:space="preserve">    payload</w:t>
        <w:br/>
        <w:t xml:space="preserve">  };</w:t>
        <w:br/>
        <w:t xml:space="preserve">  if (causationId) event.causation_id = causationId;</w:t>
        <w:br/>
        <w:br/>
        <w:t xml:space="preserve">  const res = await fetch(`${AEP_URL}/events`, {</w:t>
        <w:br/>
        <w:t xml:space="preserve">    method: "POST",</w:t>
        <w:br/>
        <w:t xml:space="preserve">    headers: { "Content-Type": "application/json" },</w:t>
        <w:br/>
        <w:t xml:space="preserve">    body: JSON.stringify(event)</w:t>
        <w:br/>
        <w:t xml:space="preserve">  });</w:t>
        <w:br/>
        <w:t xml:space="preserve">  return { ...(await res.json()), eventId: event.id };</w:t>
        <w:br/>
        <w:t>}</w:t>
        <w:br/>
        <w:br/>
        <w:t>async function handleTicket(ticketId, issue) {</w:t>
        <w:br/>
        <w:t xml:space="preserve">  // 1. Task received</w:t>
        <w:br/>
        <w:t xml:space="preserve">  const r1 = await emit("task.created", {</w:t>
        <w:br/>
        <w:t xml:space="preserve">    ticket_id: ticketId, issue</w:t>
        <w:br/>
        <w:t xml:space="preserve">  });</w:t>
        <w:br/>
        <w:br/>
        <w:t xml:space="preserve">  // 2. Look up knowledge base</w:t>
        <w:br/>
        <w:t xml:space="preserve">  const r2 = await emit("memory.read", {</w:t>
        <w:br/>
        <w:t xml:space="preserve">    knowledge_base: "auth-runbook",</w:t>
        <w:br/>
        <w:t xml:space="preserve">    query: issue</w:t>
        <w:br/>
        <w:t xml:space="preserve">  }, r1.eventId);</w:t>
        <w:br/>
        <w:br/>
        <w:t xml:space="preserve">  // 3. Call ticketing system</w:t>
        <w:br/>
        <w:t xml:space="preserve">  const r3 = await emit("tool.called", {</w:t>
        <w:br/>
        <w:t xml:space="preserve">    tool_name: "ticketing.lookup",</w:t>
        <w:br/>
        <w:t xml:space="preserve">    arguments: { ticket_id: ticketId }</w:t>
        <w:br/>
        <w:t xml:space="preserve">  }, r2.eventId);</w:t>
        <w:br/>
        <w:br/>
        <w:t xml:space="preserve">  // ... your actual tool call logic here ...</w:t>
        <w:br/>
        <w:br/>
        <w:t xml:space="preserve">  // 4. Tool returns result</w:t>
        <w:br/>
        <w:t xml:space="preserve">  const r4 = await emit("tool.result", {</w:t>
        <w:br/>
        <w:t xml:space="preserve">    tool_name: "ticketing.lookup",</w:t>
        <w:br/>
        <w:t xml:space="preserve">    output: { last_error: "MFA assertion mismatch" }</w:t>
        <w:br/>
        <w:t xml:space="preserve">  }, r3.eventId);</w:t>
        <w:br/>
        <w:br/>
        <w:t xml:space="preserve">  // 5. Task completed</w:t>
        <w:br/>
        <w:t xml:space="preserve">  const r5 = await emit("task.completed", {</w:t>
        <w:br/>
        <w:t xml:space="preserve">    resolution: "Reset MFA binding",</w:t>
        <w:br/>
        <w:t xml:space="preserve">    escalation_required: false</w:t>
        <w:br/>
        <w:t xml:space="preserve">  }, r4.eventId);</w:t>
        <w:br/>
        <w:br/>
        <w:t xml:space="preserve">  console.log("Done:", sessionId);</w:t>
        <w:br/>
        <w:t>}</w:t>
        <w:br/>
        <w:br/>
        <w:t>handleTicket("SUP-4217", "Cannot login after SSO migration");</w:t>
      </w:r>
    </w:p>
    <w:p>
      <w:pPr>
        <w:pStyle w:val="Heading1"/>
      </w:pPr>
      <w:r>
        <w:t>11. Observing Events in the Dashboard</w:t>
      </w:r>
    </w:p>
    <w:p>
      <w:pPr>
        <w:spacing w:after="120"/>
      </w:pPr>
      <w:r>
        <w:rPr>
          <w:b w:val="0"/>
        </w:rPr>
        <w:t>Once the ingest server is running and your agent is emitting events, open the dashboard in your browser:</w:t>
      </w:r>
    </w:p>
    <w:p>
      <w:pPr>
        <w:pStyle w:val="CodeBlock"/>
        <w:shd w:val="clear" w:color="auto" w:fill="F5F5F5"/>
      </w:pPr>
      <w:r>
        <w:t>http://localhost:8787/dashboard</w:t>
      </w:r>
    </w:p>
    <w:p>
      <w:pPr>
        <w:spacing w:after="120"/>
      </w:pPr>
      <w:r>
        <w:rPr>
          <w:b w:val="0"/>
        </w:rPr>
        <w:t>The dashboard provides the following features:</w:t>
      </w:r>
    </w:p>
    <w:p>
      <w:pPr>
        <w:pStyle w:val="ListBullet"/>
      </w:pPr>
      <w:r>
        <w:rPr>
          <w:b/>
        </w:rPr>
        <w:t xml:space="preserve">Metrics bar: </w:t>
      </w:r>
      <w:r>
        <w:t>Live counters for sessions, events received, accepted, rejected, and duplicates.</w:t>
      </w:r>
    </w:p>
    <w:p>
      <w:pPr>
        <w:pStyle w:val="ListBullet"/>
      </w:pPr>
      <w:r>
        <w:rPr>
          <w:b/>
        </w:rPr>
        <w:t xml:space="preserve">Session list: </w:t>
      </w:r>
      <w:r>
        <w:t>All agent runs sorted by most recent activity. Click a session to view its timeline.</w:t>
      </w:r>
    </w:p>
    <w:p>
      <w:pPr>
        <w:pStyle w:val="ListBullet"/>
      </w:pPr>
      <w:r>
        <w:rPr>
          <w:b/>
        </w:rPr>
        <w:t xml:space="preserve">Event timeline: </w:t>
      </w:r>
      <w:r>
        <w:t>Chronological event cards showing type, timestamp, causation chain, and full payload.</w:t>
      </w:r>
    </w:p>
    <w:p>
      <w:pPr>
        <w:pStyle w:val="ListBullet"/>
      </w:pPr>
      <w:r>
        <w:rPr>
          <w:b/>
        </w:rPr>
        <w:t xml:space="preserve">Filtering: </w:t>
      </w:r>
      <w:r>
        <w:t>Filter by event type (dropdown) or search across IDs, types, and payloads (free text).</w:t>
      </w:r>
    </w:p>
    <w:p>
      <w:pPr>
        <w:pStyle w:val="ListBullet"/>
      </w:pPr>
      <w:r>
        <w:rPr>
          <w:b/>
        </w:rPr>
        <w:t xml:space="preserve">Replay controls: </w:t>
      </w:r>
      <w:r>
        <w:t>Step through events one by one (Prev/Next) or use Autoplay to walk through the timeline automatically.</w:t>
      </w:r>
    </w:p>
    <w:p>
      <w:pPr>
        <w:pStyle w:val="ListBullet"/>
      </w:pPr>
      <w:r>
        <w:rPr>
          <w:b/>
        </w:rPr>
        <w:t xml:space="preserve">Export: </w:t>
      </w:r>
      <w:r>
        <w:t>Download session events as JSON or CSV with one click.</w:t>
      </w:r>
    </w:p>
    <w:p>
      <w:pPr>
        <w:spacing w:after="160"/>
      </w:pPr>
      <w:r>
        <w:rPr>
          <w:b/>
          <w:color w:val="166534"/>
          <w:sz w:val="20"/>
        </w:rPr>
        <w:t xml:space="preserve">ℹ  Note: </w:t>
      </w:r>
      <w:r>
        <w:rPr>
          <w:color w:val="4C5F52"/>
          <w:sz w:val="20"/>
        </w:rPr>
        <w:t>The dashboard auto-refreshes every 5 seconds. You can also click the Refresh button manually.</w:t>
      </w:r>
    </w:p>
    <w:p>
      <w:pPr>
        <w:pStyle w:val="Heading1"/>
      </w:pPr>
      <w:r>
        <w:t>12. API Reference</w:t>
      </w:r>
    </w:p>
    <w:tbl>
      <w:tblPr>
        <w:tblStyle w:val="TableGrid"/>
        <w:tblW w:type="auto" w:w="0"/>
        <w:jc w:val="left"/>
        <w:tblLook w:firstColumn="1" w:firstRow="1" w:lastColumn="0" w:lastRow="0" w:noHBand="0" w:noVBand="1" w:val="04A0"/>
      </w:tblPr>
      <w:tblGrid>
        <w:gridCol w:w="3120"/>
        <w:gridCol w:w="3120"/>
        <w:gridCol w:w="3120"/>
      </w:tblGrid>
      <w:tr>
        <w:tc>
          <w:tcPr>
            <w:tcW w:type="dxa" w:w="1152"/>
            <w:shd w:val="clear" w:color="auto" w:fill="D5E8D4"/>
          </w:tcPr>
          <w:p>
            <w:r/>
            <w:r>
              <w:rPr>
                <w:rFonts w:ascii="Arial" w:hAnsi="Arial"/>
                <w:b/>
                <w:sz w:val="20"/>
              </w:rPr>
              <w:t>Method</w:t>
            </w:r>
          </w:p>
        </w:tc>
        <w:tc>
          <w:tcPr>
            <w:tcW w:type="dxa" w:w="3168"/>
            <w:shd w:val="clear" w:color="auto" w:fill="D5E8D4"/>
          </w:tcPr>
          <w:p>
            <w:r/>
            <w:r>
              <w:rPr>
                <w:rFonts w:ascii="Arial" w:hAnsi="Arial"/>
                <w:b/>
                <w:sz w:val="20"/>
              </w:rPr>
              <w:t>Endpoint</w:t>
            </w:r>
          </w:p>
        </w:tc>
        <w:tc>
          <w:tcPr>
            <w:tcW w:type="dxa" w:w="5040"/>
            <w:shd w:val="clear" w:color="auto" w:fill="D5E8D4"/>
          </w:tcPr>
          <w:p>
            <w:r/>
            <w:r>
              <w:rPr>
                <w:rFonts w:ascii="Arial" w:hAnsi="Arial"/>
                <w:b/>
                <w:sz w:val="20"/>
              </w:rPr>
              <w:t>Description</w:t>
            </w:r>
          </w:p>
        </w:tc>
      </w:tr>
      <w:tr>
        <w:tc>
          <w:tcPr>
            <w:tcW w:type="dxa" w:w="1152"/>
          </w:tcPr>
          <w:p>
            <w:r/>
            <w:r>
              <w:rPr>
                <w:rFonts w:ascii="Arial" w:hAnsi="Arial"/>
                <w:sz w:val="20"/>
              </w:rPr>
              <w:t>POST</w:t>
            </w:r>
          </w:p>
        </w:tc>
        <w:tc>
          <w:tcPr>
            <w:tcW w:type="dxa" w:w="3168"/>
          </w:tcPr>
          <w:p>
            <w:r/>
            <w:r>
              <w:rPr>
                <w:rFonts w:ascii="Arial" w:hAnsi="Arial"/>
                <w:sz w:val="20"/>
              </w:rPr>
              <w:t>/events</w:t>
            </w:r>
          </w:p>
        </w:tc>
        <w:tc>
          <w:tcPr>
            <w:tcW w:type="dxa" w:w="5040"/>
          </w:tcPr>
          <w:p>
            <w:r/>
            <w:r>
              <w:rPr>
                <w:rFonts w:ascii="Arial" w:hAnsi="Arial"/>
                <w:sz w:val="20"/>
              </w:rPr>
              <w:t>Ingest a single event. Returns 202 (accepted), 200 (duplicate), or 400 (validation error).</w:t>
            </w:r>
          </w:p>
        </w:tc>
      </w:tr>
      <w:tr>
        <w:tc>
          <w:tcPr>
            <w:tcW w:type="dxa" w:w="1152"/>
          </w:tcPr>
          <w:p>
            <w:r/>
            <w:r>
              <w:rPr>
                <w:rFonts w:ascii="Arial" w:hAnsi="Arial"/>
                <w:sz w:val="20"/>
              </w:rPr>
              <w:t>GET</w:t>
            </w:r>
          </w:p>
        </w:tc>
        <w:tc>
          <w:tcPr>
            <w:tcW w:type="dxa" w:w="3168"/>
          </w:tcPr>
          <w:p>
            <w:r/>
            <w:r>
              <w:rPr>
                <w:rFonts w:ascii="Arial" w:hAnsi="Arial"/>
                <w:sz w:val="20"/>
              </w:rPr>
              <w:t>/health</w:t>
            </w:r>
          </w:p>
        </w:tc>
        <w:tc>
          <w:tcPr>
            <w:tcW w:type="dxa" w:w="5040"/>
          </w:tcPr>
          <w:p>
            <w:r/>
            <w:r>
              <w:rPr>
                <w:rFonts w:ascii="Arial" w:hAnsi="Arial"/>
                <w:sz w:val="20"/>
              </w:rPr>
              <w:t>Health check. Returns { ok: true }.</w:t>
            </w:r>
          </w:p>
        </w:tc>
      </w:tr>
      <w:tr>
        <w:tc>
          <w:tcPr>
            <w:tcW w:type="dxa" w:w="1152"/>
          </w:tcPr>
          <w:p>
            <w:r/>
            <w:r>
              <w:rPr>
                <w:rFonts w:ascii="Arial" w:hAnsi="Arial"/>
                <w:sz w:val="20"/>
              </w:rPr>
              <w:t>GET</w:t>
            </w:r>
          </w:p>
        </w:tc>
        <w:tc>
          <w:tcPr>
            <w:tcW w:type="dxa" w:w="3168"/>
          </w:tcPr>
          <w:p>
            <w:r/>
            <w:r>
              <w:rPr>
                <w:rFonts w:ascii="Arial" w:hAnsi="Arial"/>
                <w:sz w:val="20"/>
              </w:rPr>
              <w:t>/metrics</w:t>
            </w:r>
          </w:p>
        </w:tc>
        <w:tc>
          <w:tcPr>
            <w:tcW w:type="dxa" w:w="5040"/>
          </w:tcPr>
          <w:p>
            <w:r/>
            <w:r>
              <w:rPr>
                <w:rFonts w:ascii="Arial" w:hAnsi="Arial"/>
                <w:sz w:val="20"/>
              </w:rPr>
              <w:t>Global counters: received, accepted, rejected, duplicates, by-type breakdown.</w:t>
            </w:r>
          </w:p>
        </w:tc>
      </w:tr>
      <w:tr>
        <w:tc>
          <w:tcPr>
            <w:tcW w:type="dxa" w:w="1152"/>
          </w:tcPr>
          <w:p>
            <w:r/>
            <w:r>
              <w:rPr>
                <w:rFonts w:ascii="Arial" w:hAnsi="Arial"/>
                <w:sz w:val="20"/>
              </w:rPr>
              <w:t>GET</w:t>
            </w:r>
          </w:p>
        </w:tc>
        <w:tc>
          <w:tcPr>
            <w:tcW w:type="dxa" w:w="3168"/>
          </w:tcPr>
          <w:p>
            <w:r/>
            <w:r>
              <w:rPr>
                <w:rFonts w:ascii="Arial" w:hAnsi="Arial"/>
                <w:sz w:val="20"/>
              </w:rPr>
              <w:t>/sessions</w:t>
            </w:r>
          </w:p>
        </w:tc>
        <w:tc>
          <w:tcPr>
            <w:tcW w:type="dxa" w:w="5040"/>
          </w:tcPr>
          <w:p>
            <w:r/>
            <w:r>
              <w:rPr>
                <w:rFonts w:ascii="Arial" w:hAnsi="Arial"/>
                <w:sz w:val="20"/>
              </w:rPr>
              <w:t>List all sessions with event counts and timestamps.</w:t>
            </w:r>
          </w:p>
        </w:tc>
      </w:tr>
      <w:tr>
        <w:tc>
          <w:tcPr>
            <w:tcW w:type="dxa" w:w="1152"/>
          </w:tcPr>
          <w:p>
            <w:r/>
            <w:r>
              <w:rPr>
                <w:rFonts w:ascii="Arial" w:hAnsi="Arial"/>
                <w:sz w:val="20"/>
              </w:rPr>
              <w:t>GET</w:t>
            </w:r>
          </w:p>
        </w:tc>
        <w:tc>
          <w:tcPr>
            <w:tcW w:type="dxa" w:w="3168"/>
          </w:tcPr>
          <w:p>
            <w:r/>
            <w:r>
              <w:rPr>
                <w:rFonts w:ascii="Arial" w:hAnsi="Arial"/>
                <w:sz w:val="20"/>
              </w:rPr>
              <w:t>/sessions/:id/events</w:t>
            </w:r>
          </w:p>
        </w:tc>
        <w:tc>
          <w:tcPr>
            <w:tcW w:type="dxa" w:w="5040"/>
          </w:tcPr>
          <w:p>
            <w:r/>
            <w:r>
              <w:rPr>
                <w:rFonts w:ascii="Arial" w:hAnsi="Arial"/>
                <w:sz w:val="20"/>
              </w:rPr>
              <w:t>Get events for a session. Supports ?type= and ?q= query params.</w:t>
            </w:r>
          </w:p>
        </w:tc>
      </w:tr>
      <w:tr>
        <w:tc>
          <w:tcPr>
            <w:tcW w:type="dxa" w:w="1152"/>
          </w:tcPr>
          <w:p>
            <w:r/>
            <w:r>
              <w:rPr>
                <w:rFonts w:ascii="Arial" w:hAnsi="Arial"/>
                <w:sz w:val="20"/>
              </w:rPr>
              <w:t>GET</w:t>
            </w:r>
          </w:p>
        </w:tc>
        <w:tc>
          <w:tcPr>
            <w:tcW w:type="dxa" w:w="3168"/>
          </w:tcPr>
          <w:p>
            <w:r/>
            <w:r>
              <w:rPr>
                <w:rFonts w:ascii="Arial" w:hAnsi="Arial"/>
                <w:sz w:val="20"/>
              </w:rPr>
              <w:t>/sessions/:id/export</w:t>
            </w:r>
          </w:p>
        </w:tc>
        <w:tc>
          <w:tcPr>
            <w:tcW w:type="dxa" w:w="5040"/>
          </w:tcPr>
          <w:p>
            <w:r/>
            <w:r>
              <w:rPr>
                <w:rFonts w:ascii="Arial" w:hAnsi="Arial"/>
                <w:sz w:val="20"/>
              </w:rPr>
              <w:t>Export session events. Supports ?format=json|csv plus ?type= and ?q=.</w:t>
            </w:r>
          </w:p>
        </w:tc>
      </w:tr>
      <w:tr>
        <w:tc>
          <w:tcPr>
            <w:tcW w:type="dxa" w:w="1152"/>
          </w:tcPr>
          <w:p>
            <w:r/>
            <w:r>
              <w:rPr>
                <w:rFonts w:ascii="Arial" w:hAnsi="Arial"/>
                <w:sz w:val="20"/>
              </w:rPr>
              <w:t>GET</w:t>
            </w:r>
          </w:p>
        </w:tc>
        <w:tc>
          <w:tcPr>
            <w:tcW w:type="dxa" w:w="3168"/>
          </w:tcPr>
          <w:p>
            <w:r/>
            <w:r>
              <w:rPr>
                <w:rFonts w:ascii="Arial" w:hAnsi="Arial"/>
                <w:sz w:val="20"/>
              </w:rPr>
              <w:t>/dashboard</w:t>
            </w:r>
          </w:p>
        </w:tc>
        <w:tc>
          <w:tcPr>
            <w:tcW w:type="dxa" w:w="5040"/>
          </w:tcPr>
          <w:p>
            <w:r/>
            <w:r>
              <w:rPr>
                <w:rFonts w:ascii="Arial" w:hAnsi="Arial"/>
                <w:sz w:val="20"/>
              </w:rPr>
              <w:t>Serves the browser-based dashboard UI.</w:t>
            </w:r>
          </w:p>
        </w:tc>
      </w:tr>
    </w:tbl>
    <w:p/>
    <w:p>
      <w:pPr>
        <w:pStyle w:val="Heading1"/>
      </w:pPr>
      <w:r>
        <w:t>13. Production Considerations</w:t>
      </w:r>
    </w:p>
    <w:p>
      <w:pPr>
        <w:spacing w:after="120"/>
      </w:pPr>
      <w:r>
        <w:rPr>
          <w:b w:val="0"/>
        </w:rPr>
        <w:t>The MVP implementation is designed for local development and demos. Before deploying to production, consider the following areas:</w:t>
      </w:r>
    </w:p>
    <w:p>
      <w:pPr>
        <w:pStyle w:val="ListBullet"/>
      </w:pPr>
      <w:r>
        <w:rPr>
          <w:b/>
        </w:rPr>
        <w:t xml:space="preserve">Persistent storage: </w:t>
      </w:r>
      <w:r>
        <w:t>The MVP stores events in memory (Map/Set). Replace with a database (PostgreSQL, DynamoDB) or event store (Kafka, EventStoreDB) for durability.</w:t>
      </w:r>
    </w:p>
    <w:p>
      <w:pPr>
        <w:pStyle w:val="ListBullet"/>
      </w:pPr>
      <w:r>
        <w:rPr>
          <w:b/>
        </w:rPr>
        <w:t xml:space="preserve">Deduplication: </w:t>
      </w:r>
      <w:r>
        <w:t>The in-memory Set grows unbounded. Use Redis or a database-backed dedupe table with TTL expiry.</w:t>
      </w:r>
    </w:p>
    <w:p>
      <w:pPr>
        <w:pStyle w:val="ListBullet"/>
      </w:pPr>
      <w:r>
        <w:rPr>
          <w:b/>
        </w:rPr>
        <w:t xml:space="preserve">Authentication: </w:t>
      </w:r>
      <w:r>
        <w:t>The MVP has no auth. Add API keys, JWT validation, or mTLS before exposing to a network.</w:t>
      </w:r>
    </w:p>
    <w:p>
      <w:pPr>
        <w:pStyle w:val="ListBullet"/>
      </w:pPr>
      <w:r>
        <w:rPr>
          <w:b/>
        </w:rPr>
        <w:t xml:space="preserve">Rate limiting: </w:t>
      </w:r>
      <w:r>
        <w:t>Add rate limiting per source/tenant to prevent abuse.</w:t>
      </w:r>
    </w:p>
    <w:p>
      <w:pPr>
        <w:pStyle w:val="ListBullet"/>
      </w:pPr>
      <w:r>
        <w:rPr>
          <w:b/>
        </w:rPr>
        <w:t xml:space="preserve">Horizontal scaling: </w:t>
      </w:r>
      <w:r>
        <w:t>For high-throughput, put a message queue (SQS, Kafka) in front of the ingest endpoint and process asynchronously.</w:t>
      </w:r>
    </w:p>
    <w:p>
      <w:pPr>
        <w:pStyle w:val="ListBullet"/>
      </w:pPr>
      <w:r>
        <w:rPr>
          <w:b/>
        </w:rPr>
        <w:t xml:space="preserve">Schema evolution: </w:t>
      </w:r>
      <w:r>
        <w:t>Use the optional schema field in the envelope to version your payloads as they evolve.</w:t>
      </w:r>
    </w:p>
    <w:p>
      <w:r>
        <w:br w:type="page"/>
      </w:r>
    </w:p>
    <w:p>
      <w:pPr>
        <w:spacing w:after="120"/>
        <w:jc w:val="center"/>
      </w:pPr>
      <w:r>
        <w:rPr>
          <w:b w:val="0"/>
          <w:color w:val="4C5F52"/>
          <w:sz w:val="22"/>
        </w:rPr>
        <w:t>— End of Guide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32018"/>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166534"/>
      <w:sz w:val="32"/>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Arial" w:hAnsi="Arial"/>
      <w:b/>
      <w:bCs/>
      <w:color w:val="1F4E3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432"/>
    </w:pPr>
    <w:rPr>
      <w:rFonts w:ascii="Courier New" w:hAnsi="Courier New"/>
      <w:color w:val="1A1A1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