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ublic-records-request"/>
    <w:p>
      <w:pPr>
        <w:pStyle w:val="Heading1"/>
      </w:pPr>
      <w:r>
        <w:t xml:space="preserve">PUBLIC RECORDS REQUEST</w:t>
      </w:r>
    </w:p>
    <w:bookmarkStart w:id="10" w:name="X3e24507c11c14dae8be1f0f3991d42b344b63af"/>
    <w:p>
      <w:pPr>
        <w:pStyle w:val="Heading2"/>
      </w:pPr>
      <w:r>
        <w:t xml:space="preserve">Data Broker &amp; Commercial Surveillance Data Purchases</w:t>
      </w:r>
    </w:p>
    <w:bookmarkStart w:id="9" w:name="Xfd6832c68eebbde5e851b397adb64a51856c1e0"/>
    <w:p>
      <w:pPr>
        <w:pStyle w:val="Heading3"/>
      </w:pPr>
      <w:r>
        <w:t xml:space="preserve">Prepared Using the WA Surveillance Watch Toolkit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[AGENCY NAME]</w:t>
      </w:r>
      <w:r>
        <w:t xml:space="preserve"> </w:t>
      </w:r>
      <w:r>
        <w:t xml:space="preserve">[RECORDS OFFICER NAME, if known]</w:t>
      </w:r>
      <w:r>
        <w:t xml:space="preserve"> </w:t>
      </w:r>
      <w:r>
        <w:t xml:space="preserve">[AGENCY ADDRESS]</w:t>
      </w:r>
      <w:r>
        <w:t xml:space="preserve"> </w:t>
      </w:r>
      <w:r>
        <w:t xml:space="preserve">[CITY, STATE ZIP]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t xml:space="preserve">[YOUR ADDRESS]</w:t>
      </w:r>
      <w:r>
        <w:t xml:space="preserve"> </w:t>
      </w:r>
      <w:r>
        <w:t xml:space="preserve">[YOUR EMAIL]</w:t>
      </w:r>
      <w:r>
        <w:t xml:space="preserve"> </w:t>
      </w:r>
      <w:r>
        <w:t xml:space="preserve">[YOUR PHONE]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053d28c5310a4c24f21414ad7eb43b6a4d0fa32"/>
    <w:p>
      <w:pPr>
        <w:pStyle w:val="Heading2"/>
      </w:pPr>
      <w:r>
        <w:t xml:space="preserve">REQUEST UNDER THE WASHINGTON PUBLIC RECORDS ACT (RCW 42.56)</w:t>
      </w:r>
    </w:p>
    <w:p>
      <w:pPr>
        <w:pStyle w:val="FirstParagraph"/>
      </w:pPr>
      <w:r>
        <w:t xml:space="preserve">Dear Public Records Officer:</w:t>
      </w:r>
    </w:p>
    <w:p>
      <w:pPr>
        <w:pStyle w:val="BodyText"/>
      </w:pPr>
      <w:r>
        <w:t xml:space="preserve">Pursuant to the Washington Public Records Act (RCW 42.56), I am requesting copies of the following records related to purchases, subscriptions, or access to commercially available surveillance data, data broker services, or intelligence platforms used by</w:t>
      </w:r>
      <w:r>
        <w:t xml:space="preserve"> </w:t>
      </w:r>
      <w:r>
        <w:rPr>
          <w:b/>
          <w:bCs/>
        </w:rPr>
        <w:t xml:space="preserve">[AGENCY NAME]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8" w:name="records-requested"/>
    <w:p>
      <w:pPr>
        <w:pStyle w:val="Heading2"/>
      </w:pPr>
      <w:r>
        <w:t xml:space="preserve">RECORDS REQUESTED</w:t>
      </w:r>
    </w:p>
    <w:bookmarkStart w:id="12" w:name="data-broker-contracts-and-purchases"/>
    <w:p>
      <w:pPr>
        <w:pStyle w:val="Heading3"/>
      </w:pPr>
      <w:r>
        <w:t xml:space="preserve">1. Data Broker Contracts and Purchases</w:t>
      </w:r>
    </w:p>
    <w:p>
      <w:pPr>
        <w:pStyle w:val="Compact"/>
        <w:numPr>
          <w:ilvl w:val="0"/>
          <w:numId w:val="1001"/>
        </w:numPr>
      </w:pPr>
      <w:r>
        <w:t xml:space="preserve">All contracts, agreements, purchase orders, subscriptions, and memoranda of understanding (MOUs) with commercial data brokers or intelligence platforms, including but not limited to: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Palantir Technologies</w:t>
      </w:r>
      <w:r>
        <w:t xml:space="preserve"> </w:t>
      </w:r>
      <w:r>
        <w:t xml:space="preserve">(Gotham, Foundry)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Babel Street</w:t>
      </w:r>
      <w:r>
        <w:t xml:space="preserve"> </w:t>
      </w:r>
      <w:r>
        <w:t xml:space="preserve">(Locate X, formerly Babel X)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Fog Data Science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Venntel / Gravy Analytics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Thomson Reuters CLEAR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LexisNexis Risk Solutions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Accurint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TLO (TransUnion)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Cobwebs Technologies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ShadowDragon</w:t>
      </w:r>
      <w:r>
        <w:t xml:space="preserve"> </w:t>
      </w:r>
      <w:r>
        <w:t xml:space="preserve">(SocialNet, OIMonitor)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Hawk Analytics</w:t>
      </w:r>
    </w:p>
    <w:p>
      <w:pPr>
        <w:pStyle w:val="Compact"/>
        <w:numPr>
          <w:ilvl w:val="1"/>
          <w:numId w:val="1002"/>
        </w:numPr>
      </w:pPr>
      <w:r>
        <w:t xml:space="preserve">Any other vendor providing location data, social media data, financial data, utility data, or aggregated personal information</w:t>
      </w:r>
    </w:p>
    <w:p>
      <w:pPr>
        <w:pStyle w:val="Compact"/>
        <w:numPr>
          <w:ilvl w:val="0"/>
          <w:numId w:val="1001"/>
        </w:numPr>
      </w:pPr>
      <w:r>
        <w:t xml:space="preserve">All invoices, payment records, and budget documents for the above</w:t>
      </w:r>
    </w:p>
    <w:p>
      <w:pPr>
        <w:pStyle w:val="Compact"/>
        <w:numPr>
          <w:ilvl w:val="0"/>
          <w:numId w:val="1001"/>
        </w:numPr>
      </w:pPr>
      <w:r>
        <w:t xml:space="preserve">All grant applications and awards used to fund data broker subscriptions</w:t>
      </w:r>
    </w:p>
    <w:bookmarkEnd w:id="12"/>
    <w:bookmarkStart w:id="13" w:name="location-data-purchases"/>
    <w:p>
      <w:pPr>
        <w:pStyle w:val="Heading3"/>
      </w:pPr>
      <w:r>
        <w:t xml:space="preserve">2. Location Data Purchases</w:t>
      </w:r>
    </w:p>
    <w:p>
      <w:pPr>
        <w:pStyle w:val="Compact"/>
        <w:numPr>
          <w:ilvl w:val="0"/>
          <w:numId w:val="1003"/>
        </w:numPr>
      </w:pPr>
      <w:r>
        <w:t xml:space="preserve">All contracts or agreements for the purchase or access to</w:t>
      </w:r>
      <w:r>
        <w:t xml:space="preserve"> </w:t>
      </w:r>
      <w:r>
        <w:rPr>
          <w:b/>
          <w:bCs/>
        </w:rPr>
        <w:t xml:space="preserve">cell phone location data, GPS data, or geolocation data</w:t>
      </w:r>
      <w:r>
        <w:t xml:space="preserve"> </w:t>
      </w:r>
      <w:r>
        <w:t xml:space="preserve">from commercial sources</w:t>
      </w:r>
    </w:p>
    <w:p>
      <w:pPr>
        <w:pStyle w:val="Compact"/>
        <w:numPr>
          <w:ilvl w:val="0"/>
          <w:numId w:val="1003"/>
        </w:numPr>
      </w:pPr>
      <w:r>
        <w:t xml:space="preserve">All records showing the volume of location data queries performed per month for the past 24 months</w:t>
      </w:r>
    </w:p>
    <w:p>
      <w:pPr>
        <w:pStyle w:val="Compact"/>
        <w:numPr>
          <w:ilvl w:val="0"/>
          <w:numId w:val="1003"/>
        </w:numPr>
      </w:pPr>
      <w:r>
        <w:t xml:space="preserve">All records documenting the legal authority relied upon for purchasing location data without a warrant</w:t>
      </w:r>
    </w:p>
    <w:bookmarkEnd w:id="13"/>
    <w:bookmarkStart w:id="14" w:name="social-media-monitoring"/>
    <w:p>
      <w:pPr>
        <w:pStyle w:val="Heading3"/>
      </w:pPr>
      <w:r>
        <w:t xml:space="preserve">3. Social Media Monitoring</w:t>
      </w:r>
    </w:p>
    <w:p>
      <w:pPr>
        <w:pStyle w:val="Compact"/>
        <w:numPr>
          <w:ilvl w:val="0"/>
          <w:numId w:val="1004"/>
        </w:numPr>
      </w:pPr>
      <w:r>
        <w:t xml:space="preserve">All contracts or agreements for social media monitoring or social media intelligence tools</w:t>
      </w:r>
    </w:p>
    <w:p>
      <w:pPr>
        <w:pStyle w:val="Compact"/>
        <w:numPr>
          <w:ilvl w:val="0"/>
          <w:numId w:val="1004"/>
        </w:numPr>
      </w:pPr>
      <w:r>
        <w:t xml:space="preserve">All policies governing the monitoring of social media accounts, including whether monitoring requires reasonable suspicion or is conducted on a bulk/keyword basis</w:t>
      </w:r>
    </w:p>
    <w:p>
      <w:pPr>
        <w:pStyle w:val="Compact"/>
        <w:numPr>
          <w:ilvl w:val="0"/>
          <w:numId w:val="1004"/>
        </w:numPr>
      </w:pPr>
      <w:r>
        <w:t xml:space="preserve">All records of social media monitoring conducted at or related to protests, political events, or constitutionally protected activity</w:t>
      </w:r>
    </w:p>
    <w:bookmarkEnd w:id="14"/>
    <w:bookmarkStart w:id="15" w:name="policies-and-oversight"/>
    <w:p>
      <w:pPr>
        <w:pStyle w:val="Heading3"/>
      </w:pPr>
      <w:r>
        <w:t xml:space="preserve">4. Policies and Oversight</w:t>
      </w:r>
    </w:p>
    <w:p>
      <w:pPr>
        <w:pStyle w:val="Compact"/>
        <w:numPr>
          <w:ilvl w:val="0"/>
          <w:numId w:val="1005"/>
        </w:numPr>
      </w:pPr>
      <w:r>
        <w:t xml:space="preserve">All policies, procedures, and guidelines governing the acquisition and use of commercially purchased surveillance data</w:t>
      </w:r>
    </w:p>
    <w:p>
      <w:pPr>
        <w:pStyle w:val="Compact"/>
        <w:numPr>
          <w:ilvl w:val="0"/>
          <w:numId w:val="1005"/>
        </w:numPr>
      </w:pPr>
      <w:r>
        <w:t xml:space="preserve">All legal opinions, memoranda, or guidance from agency counsel regarding the legality of purchasing data that would otherwise require a warrant to obtain directly</w:t>
      </w:r>
    </w:p>
    <w:p>
      <w:pPr>
        <w:pStyle w:val="Compact"/>
        <w:numPr>
          <w:ilvl w:val="0"/>
          <w:numId w:val="1005"/>
        </w:numPr>
      </w:pPr>
      <w:r>
        <w:t xml:space="preserve">All privacy impact assessments or civil liberties reviews conducted regarding data broker services</w:t>
      </w:r>
    </w:p>
    <w:p>
      <w:pPr>
        <w:pStyle w:val="Compact"/>
        <w:numPr>
          <w:ilvl w:val="0"/>
          <w:numId w:val="1005"/>
        </w:numPr>
      </w:pPr>
      <w:r>
        <w:t xml:space="preserve">All training materials for personnel authorized to use data broker platforms</w:t>
      </w:r>
    </w:p>
    <w:bookmarkEnd w:id="15"/>
    <w:bookmarkStart w:id="16" w:name="data-access-and-sharing"/>
    <w:p>
      <w:pPr>
        <w:pStyle w:val="Heading3"/>
      </w:pPr>
      <w:r>
        <w:t xml:space="preserve">5. Data Access and Sharing</w:t>
      </w:r>
    </w:p>
    <w:p>
      <w:pPr>
        <w:pStyle w:val="Compact"/>
        <w:numPr>
          <w:ilvl w:val="0"/>
          <w:numId w:val="1006"/>
        </w:numPr>
      </w:pPr>
      <w:r>
        <w:t xml:space="preserve">All records identifying which personnel, units, or task forces have access to data broker platforms</w:t>
      </w:r>
    </w:p>
    <w:p>
      <w:pPr>
        <w:pStyle w:val="Compact"/>
        <w:numPr>
          <w:ilvl w:val="0"/>
          <w:numId w:val="1006"/>
        </w:numPr>
      </w:pPr>
      <w:r>
        <w:t xml:space="preserve">All agreements allowing other agencies (local, state, or federal) to access data purchased by this agency</w:t>
      </w:r>
    </w:p>
    <w:p>
      <w:pPr>
        <w:pStyle w:val="Compact"/>
        <w:numPr>
          <w:ilvl w:val="0"/>
          <w:numId w:val="1006"/>
        </w:numPr>
      </w:pPr>
      <w:r>
        <w:t xml:space="preserve">All records of data or query results shared with federal agencies, including</w:t>
      </w:r>
      <w:r>
        <w:t xml:space="preserve"> </w:t>
      </w:r>
      <w:r>
        <w:rPr>
          <w:b/>
          <w:bCs/>
        </w:rPr>
        <w:t xml:space="preserve">ICE, CBP, FBI, DEA, ATF, DHS</w:t>
      </w:r>
      <w:r>
        <w:t xml:space="preserve">, or any Joint Terrorism Task Force (JTTF)</w:t>
      </w:r>
    </w:p>
    <w:p>
      <w:pPr>
        <w:pStyle w:val="Compact"/>
        <w:numPr>
          <w:ilvl w:val="0"/>
          <w:numId w:val="1006"/>
        </w:numPr>
      </w:pPr>
      <w:r>
        <w:t xml:space="preserve">All records of federal agencies requesting access to or queries through this agency’s data broker subscriptions</w:t>
      </w:r>
    </w:p>
    <w:bookmarkEnd w:id="16"/>
    <w:bookmarkStart w:id="17" w:name="compliance-with-washington-law"/>
    <w:p>
      <w:pPr>
        <w:pStyle w:val="Heading3"/>
      </w:pPr>
      <w:r>
        <w:t xml:space="preserve">6. Compliance with Washington Law</w:t>
      </w:r>
    </w:p>
    <w:p>
      <w:pPr>
        <w:pStyle w:val="Compact"/>
        <w:numPr>
          <w:ilvl w:val="0"/>
          <w:numId w:val="1007"/>
        </w:numPr>
      </w:pPr>
      <w:r>
        <w:t xml:space="preserve">All records related to compliance with Washington’s</w:t>
      </w:r>
      <w:r>
        <w:t xml:space="preserve"> </w:t>
      </w:r>
      <w:r>
        <w:rPr>
          <w:b/>
          <w:bCs/>
        </w:rPr>
        <w:t xml:space="preserve">Shield Law (RCW 10.93.160)</w:t>
      </w:r>
      <w:r>
        <w:t xml:space="preserve">, specifically regarding whether data broker services were used in connection with immigration enforcement</w:t>
      </w:r>
    </w:p>
    <w:p>
      <w:pPr>
        <w:pStyle w:val="Compact"/>
        <w:numPr>
          <w:ilvl w:val="0"/>
          <w:numId w:val="1007"/>
        </w:numPr>
      </w:pPr>
      <w:r>
        <w:t xml:space="preserve">All records of internal reviews or audits examining whether data broker purchases comply with the Fourth Amendment, the Washington Constitution (Article I, Section 7), or relevant state privacy laws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gal-basis"/>
    <w:p>
      <w:pPr>
        <w:pStyle w:val="Heading2"/>
      </w:pPr>
      <w:r>
        <w:t xml:space="preserve">LEGAL BASIS</w:t>
      </w:r>
    </w:p>
    <w:p>
      <w:pPr>
        <w:pStyle w:val="FirstParagraph"/>
      </w:pPr>
      <w:r>
        <w:t xml:space="preserve">This request is made under the</w:t>
      </w:r>
      <w:r>
        <w:t xml:space="preserve"> </w:t>
      </w:r>
      <w:r>
        <w:rPr>
          <w:b/>
          <w:bCs/>
        </w:rPr>
        <w:t xml:space="preserve">Washington Public Records Act (RCW 42.56)</w:t>
      </w:r>
      <w:r>
        <w:t xml:space="preserve">.</w:t>
      </w:r>
    </w:p>
    <w:p>
      <w:pPr>
        <w:pStyle w:val="BodyText"/>
      </w:pPr>
      <w:r>
        <w:t xml:space="preserve">Relevant legal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Carpenter v. United States (2018)</w:t>
      </w:r>
      <w:r>
        <w:t xml:space="preserve"> </w:t>
      </w:r>
      <w:r>
        <w:t xml:space="preserve">— The US Supreme Court held that accessing cell-site location data constitutes a search requiring a warrant. Purchasing equivalent data from commercial brokers raises the same constitutional concerns.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Washington Constitution, Article I, Section 7</w:t>
      </w:r>
      <w:r>
        <w:t xml:space="preserve"> </w:t>
      </w:r>
      <w:r>
        <w:t xml:space="preserve">—</w:t>
      </w:r>
      <w:r>
        <w:t xml:space="preserve"> </w:t>
      </w:r>
      <w:r>
        <w:t xml:space="preserve">“No person shall be disturbed in his private affairs, or his home invaded, without authority of law.”</w:t>
      </w:r>
      <w:r>
        <w:t xml:space="preserve"> </w:t>
      </w:r>
      <w:r>
        <w:t xml:space="preserve">Washington courts have interpreted this more broadly than the federal Fourth Amendment.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10.93.160 (Shield Law)</w:t>
      </w:r>
      <w:r>
        <w:t xml:space="preserve"> </w:t>
      </w:r>
      <w:r>
        <w:t xml:space="preserve">— Prohibits Washington agencies from using resources for immigration enforcement, which may be implicated if data broker tools are used for that purpose.</w:t>
      </w:r>
    </w:p>
    <w:p>
      <w:r>
        <w:pict>
          <v:rect style="width:0;height:1.5pt" o:hralign="center" o:hrstd="t" o:hr="t"/>
        </w:pict>
      </w:r>
    </w:p>
    <w:bookmarkEnd w:id="19"/>
    <w:bookmarkStart w:id="20" w:name="format-and-delivery"/>
    <w:p>
      <w:pPr>
        <w:pStyle w:val="Heading2"/>
      </w:pPr>
      <w:r>
        <w:t xml:space="preserve">FORMAT AND DELIVERY</w:t>
      </w:r>
    </w:p>
    <w:p>
      <w:pPr>
        <w:pStyle w:val="FirstParagraph"/>
      </w:pPr>
      <w:r>
        <w:t xml:space="preserve">I request that responsive records be provided in</w:t>
      </w:r>
      <w:r>
        <w:t xml:space="preserve"> </w:t>
      </w:r>
      <w:r>
        <w:rPr>
          <w:b/>
          <w:bCs/>
        </w:rPr>
        <w:t xml:space="preserve">electronic format</w:t>
      </w:r>
      <w:r>
        <w:t xml:space="preserve"> </w:t>
      </w:r>
      <w:r>
        <w:t xml:space="preserve">(PDF, Word, Excel, or native format) via email to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t xml:space="preserve">where possible.</w:t>
      </w:r>
    </w:p>
    <w:p>
      <w:r>
        <w:pict>
          <v:rect style="width:0;height:1.5pt" o:hralign="center" o:hrstd="t" o:hr="t"/>
        </w:pict>
      </w:r>
    </w:p>
    <w:bookmarkEnd w:id="20"/>
    <w:bookmarkStart w:id="21" w:name="fee-waiver-request"/>
    <w:p>
      <w:pPr>
        <w:pStyle w:val="Heading2"/>
      </w:pPr>
      <w:r>
        <w:t xml:space="preserve">FEE WAIVER REQUEST</w:t>
      </w:r>
    </w:p>
    <w:p>
      <w:pPr>
        <w:pStyle w:val="FirstParagraph"/>
      </w:pPr>
      <w:r>
        <w:t xml:space="preserve">I request a waiver of fees. Disclosure is in the public interest as it contributes to public understanding of government surveillance data purchases that may affect the rights of Washington residents.</w:t>
      </w:r>
    </w:p>
    <w:p>
      <w:pPr>
        <w:pStyle w:val="BodyText"/>
      </w:pPr>
      <w:r>
        <w:t xml:space="preserve">If fees cannot be waived, please notify me before charges exceed</w:t>
      </w:r>
      <w:r>
        <w:t xml:space="preserve"> </w:t>
      </w:r>
      <w:r>
        <w:rPr>
          <w:b/>
          <w:bCs/>
        </w:rPr>
        <w:t xml:space="preserve">$25.00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response-timeline"/>
    <w:p>
      <w:pPr>
        <w:pStyle w:val="Heading2"/>
      </w:pPr>
      <w:r>
        <w:t xml:space="preserve">RESPONSE TIMELINE</w:t>
      </w:r>
    </w:p>
    <w:p>
      <w:pPr>
        <w:pStyle w:val="FirstParagraph"/>
      </w:pPr>
      <w:r>
        <w:t xml:space="preserve">Under RCW 42.56.520, you are required to respond within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.</w:t>
      </w:r>
    </w:p>
    <w:p>
      <w:pPr>
        <w:pStyle w:val="BodyText"/>
      </w:pPr>
      <w:r>
        <w:t xml:space="preserve">If any records are withheld, please cite the specific exemption(s) and provide a log of withheld documents.</w:t>
      </w:r>
    </w:p>
    <w:p>
      <w:r>
        <w:pict>
          <v:rect style="width:0;height:1.5pt" o:hralign="center" o:hrstd="t" o:hr="t"/>
        </w:pict>
      </w:r>
    </w:p>
    <w:bookmarkEnd w:id="22"/>
    <w:bookmarkStart w:id="23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[YOUR PHONE]</w:t>
      </w:r>
    </w:p>
    <w:p>
      <w:pPr>
        <w:pStyle w:val="BodyText"/>
      </w:pPr>
      <w:r>
        <w:t xml:space="preserve">Thank you for your prompt attention to this request.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template was prepared using resources from the WA Surveillance Watch Toolkit.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2026-01-31T22:29:37Z</dcterms:created>
  <dcterms:modified xsi:type="dcterms:W3CDTF">2026-01-31T22:29:37Z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