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ublic-records-request"/>
    <w:p>
      <w:pPr>
        <w:pStyle w:val="Heading1"/>
      </w:pPr>
      <w:r>
        <w:t xml:space="preserve">PUBLIC RECORDS REQUEST</w:t>
      </w:r>
    </w:p>
    <w:bookmarkStart w:id="10" w:name="X7d43c1626e386767c37e613d4877b0526bc5672"/>
    <w:p>
      <w:pPr>
        <w:pStyle w:val="Heading2"/>
      </w:pPr>
      <w:r>
        <w:t xml:space="preserve">Comprehensive Surveillance Technology Omnibus Request</w:t>
      </w:r>
    </w:p>
    <w:bookmarkStart w:id="9" w:name="Xfd6832c68eebbde5e851b397adb64a51856c1e0"/>
    <w:p>
      <w:pPr>
        <w:pStyle w:val="Heading3"/>
      </w:pPr>
      <w:r>
        <w:t xml:space="preserve">Prepared Using the WA Surveillance Watch Toolkit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[AGENCY NAME]</w:t>
      </w:r>
      <w:r>
        <w:t xml:space="preserve"> </w:t>
      </w:r>
      <w:r>
        <w:t xml:space="preserve">[RECORDS OFFICER NAME, if known]</w:t>
      </w:r>
      <w:r>
        <w:t xml:space="preserve"> </w:t>
      </w:r>
      <w:r>
        <w:t xml:space="preserve">[AGENCY ADDRESS]</w:t>
      </w:r>
      <w:r>
        <w:t xml:space="preserve"> </w:t>
      </w:r>
      <w:r>
        <w:t xml:space="preserve">[CITY, STATE ZIP]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[YOUR NAME]</w:t>
      </w:r>
      <w:r>
        <w:t xml:space="preserve"> </w:t>
      </w:r>
      <w:r>
        <w:t xml:space="preserve">[YOUR ADDRESS]</w:t>
      </w:r>
      <w:r>
        <w:t xml:space="preserve"> </w:t>
      </w:r>
      <w:r>
        <w:t xml:space="preserve">[YOUR EMAIL]</w:t>
      </w:r>
      <w:r>
        <w:t xml:space="preserve"> </w:t>
      </w:r>
      <w:r>
        <w:t xml:space="preserve">[YOUR PHONE]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053d28c5310a4c24f21414ad7eb43b6a4d0fa32"/>
    <w:p>
      <w:pPr>
        <w:pStyle w:val="Heading2"/>
      </w:pPr>
      <w:r>
        <w:t xml:space="preserve">REQUEST UNDER THE WASHINGTON PUBLIC RECORDS ACT (RCW 42.56)</w:t>
      </w:r>
    </w:p>
    <w:p>
      <w:pPr>
        <w:pStyle w:val="FirstParagraph"/>
      </w:pPr>
      <w:r>
        <w:t xml:space="preserve">Dear Public Records Officer:</w:t>
      </w:r>
    </w:p>
    <w:p>
      <w:pPr>
        <w:pStyle w:val="BodyText"/>
      </w:pPr>
      <w:r>
        <w:t xml:space="preserve">Pursuant to the Washington Public Records Act (RCW 42.56), I am requesting a comprehensive accounting of</w:t>
      </w:r>
      <w:r>
        <w:t xml:space="preserve"> </w:t>
      </w:r>
      <w:r>
        <w:rPr>
          <w:b/>
          <w:bCs/>
        </w:rPr>
        <w:t xml:space="preserve">all surveillance technologies</w:t>
      </w:r>
      <w:r>
        <w:t xml:space="preserve"> </w:t>
      </w:r>
      <w:r>
        <w:t xml:space="preserve">currently used by, contracted for, or accessible to</w:t>
      </w:r>
      <w:r>
        <w:t xml:space="preserve"> </w:t>
      </w:r>
      <w:r>
        <w:rPr>
          <w:b/>
          <w:bCs/>
        </w:rPr>
        <w:t xml:space="preserve">[AGENCY NAME]</w:t>
      </w:r>
      <w:r>
        <w:t xml:space="preserve">. This request covers all categories of surveillance technology, data collection, and monitoring capabilities.</w:t>
      </w:r>
    </w:p>
    <w:p>
      <w:r>
        <w:pict>
          <v:rect style="width:0;height:1.5pt" o:hralign="center" o:hrstd="t" o:hr="t"/>
        </w:pict>
      </w:r>
    </w:p>
    <w:bookmarkEnd w:id="11"/>
    <w:bookmarkStart w:id="17" w:name="records-requested"/>
    <w:p>
      <w:pPr>
        <w:pStyle w:val="Heading2"/>
      </w:pPr>
      <w:r>
        <w:t xml:space="preserve">RECORDS REQUESTED</w:t>
      </w:r>
    </w:p>
    <w:bookmarkStart w:id="12" w:name="X601c008dc22d369bd368457944ee1e2ac3a4a8c"/>
    <w:p>
      <w:pPr>
        <w:pStyle w:val="Heading3"/>
      </w:pPr>
      <w:r>
        <w:t xml:space="preserve">PART 1: COMPLETE SURVEILLANCE TECHNOLOGY INVENTORY</w:t>
      </w:r>
    </w:p>
    <w:p>
      <w:pPr>
        <w:pStyle w:val="FirstParagraph"/>
      </w:pPr>
      <w:r>
        <w:t xml:space="preserve">Please provide a complete list and description of all surveillance technologies, monitoring systems, and data collection tools currently owned, leased, contracted for, or accessible to the agency, including but not limited to:</w:t>
      </w:r>
    </w:p>
    <w:p>
      <w:pPr>
        <w:pStyle w:val="BodyText"/>
      </w:pPr>
      <w:r>
        <w:rPr>
          <w:b/>
          <w:bCs/>
        </w:rPr>
        <w:t xml:space="preserve">A. Camera and Visual Surveillance Systems</w:t>
      </w:r>
      <w:r>
        <w:t xml:space="preserve"> </w:t>
      </w:r>
      <w:r>
        <w:t xml:space="preserve">- Automated License Plate Readers (ALPR) — including Flock Safety, Vigilant Solutions (Motorola), Genetec, ELSAG</w:t>
      </w:r>
      <w:r>
        <w:t xml:space="preserve"> </w:t>
      </w:r>
      <w:r>
        <w:t xml:space="preserve">- Facial recognition systems — including Clearview AI, NEC, Idemia, Amazon Rekognition</w:t>
      </w:r>
      <w:r>
        <w:t xml:space="preserve"> </w:t>
      </w:r>
      <w:r>
        <w:t xml:space="preserve">- Body-worn cameras and their data storage/analytics platforms</w:t>
      </w:r>
      <w:r>
        <w:t xml:space="preserve"> </w:t>
      </w:r>
      <w:r>
        <w:t xml:space="preserve">- Fixed surveillance cameras (CCTV) and any integrated analytics</w:t>
      </w:r>
      <w:r>
        <w:t xml:space="preserve"> </w:t>
      </w:r>
      <w:r>
        <w:t xml:space="preserve">- Drone/UAS (unmanned aerial systems) with camera capabilities</w:t>
      </w:r>
      <w:r>
        <w:t xml:space="preserve"> </w:t>
      </w:r>
      <w:r>
        <w:t xml:space="preserve">- Gunshot detection systems with camera integration (e.g., ShotSpotter/SoundThinking)</w:t>
      </w:r>
    </w:p>
    <w:p>
      <w:pPr>
        <w:pStyle w:val="BodyText"/>
      </w:pPr>
      <w:r>
        <w:rPr>
          <w:b/>
          <w:bCs/>
        </w:rPr>
        <w:t xml:space="preserve">B. Communications Surveillance</w:t>
      </w:r>
      <w:r>
        <w:t xml:space="preserve"> </w:t>
      </w:r>
      <w:r>
        <w:t xml:space="preserve">- Cell-site simulators (Stingray, Hailstorm, DRT boxes, Crossbow)</w:t>
      </w:r>
      <w:r>
        <w:t xml:space="preserve"> </w:t>
      </w:r>
      <w:r>
        <w:t xml:space="preserve">- Pen register/trap-and-trace devices</w:t>
      </w:r>
      <w:r>
        <w:t xml:space="preserve"> </w:t>
      </w:r>
      <w:r>
        <w:t xml:space="preserve">- Wiretap equipment</w:t>
      </w:r>
      <w:r>
        <w:t xml:space="preserve"> </w:t>
      </w:r>
      <w:r>
        <w:t xml:space="preserve">- Email or internet monitoring tools</w:t>
      </w:r>
    </w:p>
    <w:p>
      <w:pPr>
        <w:pStyle w:val="BodyText"/>
      </w:pPr>
      <w:r>
        <w:rPr>
          <w:b/>
          <w:bCs/>
        </w:rPr>
        <w:t xml:space="preserve">C. Data Broker and Intelligence Platforms</w:t>
      </w:r>
      <w:r>
        <w:t xml:space="preserve"> </w:t>
      </w:r>
      <w:r>
        <w:t xml:space="preserve">- Palantir (Gotham, Foundry, or any product)</w:t>
      </w:r>
      <w:r>
        <w:t xml:space="preserve"> </w:t>
      </w:r>
      <w:r>
        <w:t xml:space="preserve">- Babel Street (Locate X, Babel X)</w:t>
      </w:r>
      <w:r>
        <w:t xml:space="preserve"> </w:t>
      </w:r>
      <w:r>
        <w:t xml:space="preserve">- Thomson Reuters CLEAR</w:t>
      </w:r>
      <w:r>
        <w:t xml:space="preserve"> </w:t>
      </w:r>
      <w:r>
        <w:t xml:space="preserve">- LexisNexis Risk Solutions / Accurint</w:t>
      </w:r>
      <w:r>
        <w:t xml:space="preserve"> </w:t>
      </w:r>
      <w:r>
        <w:t xml:space="preserve">- Fog Data Science</w:t>
      </w:r>
      <w:r>
        <w:t xml:space="preserve"> </w:t>
      </w:r>
      <w:r>
        <w:t xml:space="preserve">- Venntel / Gravy Analytics</w:t>
      </w:r>
      <w:r>
        <w:t xml:space="preserve"> </w:t>
      </w:r>
      <w:r>
        <w:t xml:space="preserve">- TLO (TransUnion)</w:t>
      </w:r>
      <w:r>
        <w:t xml:space="preserve"> </w:t>
      </w:r>
      <w:r>
        <w:t xml:space="preserve">- Cobwebs Technologies</w:t>
      </w:r>
      <w:r>
        <w:t xml:space="preserve"> </w:t>
      </w:r>
      <w:r>
        <w:t xml:space="preserve">- Any other platform providing aggregated personal data, location data, or intelligence analysis</w:t>
      </w:r>
    </w:p>
    <w:p>
      <w:pPr>
        <w:pStyle w:val="BodyText"/>
      </w:pPr>
      <w:r>
        <w:rPr>
          <w:b/>
          <w:bCs/>
        </w:rPr>
        <w:t xml:space="preserve">D. Social Media and Online Monitoring</w:t>
      </w:r>
      <w:r>
        <w:t xml:space="preserve"> </w:t>
      </w:r>
      <w:r>
        <w:t xml:space="preserve">- Social media monitoring tools (Dataminr, ShadowDragon, Media Sonar, Voyager Labs, etc.)</w:t>
      </w:r>
      <w:r>
        <w:t xml:space="preserve"> </w:t>
      </w:r>
      <w:r>
        <w:t xml:space="preserve">- Open-source intelligence (OSINT) platforms</w:t>
      </w:r>
      <w:r>
        <w:t xml:space="preserve"> </w:t>
      </w:r>
      <w:r>
        <w:t xml:space="preserve">- Dark web monitoring tools</w:t>
      </w:r>
      <w:r>
        <w:t xml:space="preserve"> </w:t>
      </w:r>
      <w:r>
        <w:t xml:space="preserve">- Use of undercover/fictitious social media accounts</w:t>
      </w:r>
    </w:p>
    <w:p>
      <w:pPr>
        <w:pStyle w:val="BodyText"/>
      </w:pPr>
      <w:r>
        <w:rPr>
          <w:b/>
          <w:bCs/>
        </w:rPr>
        <w:t xml:space="preserve">E. Biometric Systems</w:t>
      </w:r>
      <w:r>
        <w:t xml:space="preserve"> </w:t>
      </w:r>
      <w:r>
        <w:t xml:space="preserve">- Fingerprint databases and automated systems (beyond standard booking)</w:t>
      </w:r>
      <w:r>
        <w:t xml:space="preserve"> </w:t>
      </w:r>
      <w:r>
        <w:t xml:space="preserve">- DNA databases and rapid DNA testing equipment</w:t>
      </w:r>
      <w:r>
        <w:t xml:space="preserve"> </w:t>
      </w:r>
      <w:r>
        <w:t xml:space="preserve">- Voice recognition systems</w:t>
      </w:r>
      <w:r>
        <w:t xml:space="preserve"> </w:t>
      </w:r>
      <w:r>
        <w:t xml:space="preserve">- Gait analysis or behavioral recognition systems</w:t>
      </w:r>
    </w:p>
    <w:p>
      <w:pPr>
        <w:pStyle w:val="BodyText"/>
      </w:pPr>
      <w:r>
        <w:rPr>
          <w:b/>
          <w:bCs/>
        </w:rPr>
        <w:t xml:space="preserve">F. Predictive and Algorithmic Systems</w:t>
      </w:r>
      <w:r>
        <w:t xml:space="preserve"> </w:t>
      </w:r>
      <w:r>
        <w:t xml:space="preserve">- Predictive policing software (PredPol/Geolitica, Palantir Gotham, HunchLab)</w:t>
      </w:r>
      <w:r>
        <w:t xml:space="preserve"> </w:t>
      </w:r>
      <w:r>
        <w:t xml:space="preserve">- Risk assessment algorithms</w:t>
      </w:r>
      <w:r>
        <w:t xml:space="preserve"> </w:t>
      </w:r>
      <w:r>
        <w:t xml:space="preserve">- Crime forecasting tools</w:t>
      </w:r>
      <w:r>
        <w:t xml:space="preserve"> </w:t>
      </w:r>
      <w:r>
        <w:t xml:space="preserve">- Any AI/machine learning systems used for law enforcement purposes</w:t>
      </w:r>
    </w:p>
    <w:p>
      <w:pPr>
        <w:pStyle w:val="BodyText"/>
      </w:pPr>
      <w:r>
        <w:rPr>
          <w:b/>
          <w:bCs/>
        </w:rPr>
        <w:t xml:space="preserve">G. Vehicle and Location Tracking</w:t>
      </w:r>
      <w:r>
        <w:t xml:space="preserve"> </w:t>
      </w:r>
      <w:r>
        <w:t xml:space="preserve">- GPS tracking devices (beyond ALPR)</w:t>
      </w:r>
      <w:r>
        <w:t xml:space="preserve"> </w:t>
      </w:r>
      <w:r>
        <w:t xml:space="preserve">- Geofence warrant capabilities</w:t>
      </w:r>
      <w:r>
        <w:t xml:space="preserve"> </w:t>
      </w:r>
      <w:r>
        <w:t xml:space="preserve">- Cell tower dump capabilities</w:t>
      </w:r>
      <w:r>
        <w:t xml:space="preserve"> </w:t>
      </w:r>
      <w:r>
        <w:t xml:space="preserve">- Any real-time location tracking systems</w:t>
      </w:r>
    </w:p>
    <w:p>
      <w:pPr>
        <w:pStyle w:val="BodyText"/>
      </w:pPr>
      <w:r>
        <w:rPr>
          <w:b/>
          <w:bCs/>
        </w:rPr>
        <w:t xml:space="preserve">H. Other Surveillance Technologies</w:t>
      </w:r>
      <w:r>
        <w:t xml:space="preserve"> </w:t>
      </w:r>
      <w:r>
        <w:t xml:space="preserve">- Any additional surveillance, monitoring, data collection, or tracking technology not listed above</w:t>
      </w:r>
    </w:p>
    <w:p>
      <w:r>
        <w:pict>
          <v:rect style="width:0;height:1.5pt" o:hralign="center" o:hrstd="t" o:hr="t"/>
        </w:pict>
      </w:r>
    </w:p>
    <w:bookmarkEnd w:id="12"/>
    <w:bookmarkStart w:id="13" w:name="part-2-contracts-and-financial-records"/>
    <w:p>
      <w:pPr>
        <w:pStyle w:val="Heading3"/>
      </w:pPr>
      <w:r>
        <w:t xml:space="preserve">PART 2: CONTRACTS AND FINANCIAL RECORDS</w:t>
      </w:r>
    </w:p>
    <w:p>
      <w:pPr>
        <w:pStyle w:val="FirstParagraph"/>
      </w:pPr>
      <w:r>
        <w:t xml:space="preserve">For each technology identified in Part 1:</w:t>
      </w:r>
      <w:r>
        <w:t xml:space="preserve"> </w:t>
      </w:r>
      <w:r>
        <w:t xml:space="preserve">- All contracts, agreements, MOUs, and purchase orders</w:t>
      </w:r>
      <w:r>
        <w:t xml:space="preserve"> </w:t>
      </w:r>
      <w:r>
        <w:t xml:space="preserve">- All invoices and payment records</w:t>
      </w:r>
      <w:r>
        <w:t xml:space="preserve"> </w:t>
      </w:r>
      <w:r>
        <w:t xml:space="preserve">- Total expenditure to date and ongoing costs</w:t>
      </w:r>
      <w:r>
        <w:t xml:space="preserve"> </w:t>
      </w:r>
      <w:r>
        <w:t xml:space="preserve">- All grant applications and awards used for funding</w:t>
      </w:r>
      <w:r>
        <w:t xml:space="preserve"> </w:t>
      </w:r>
      <w:r>
        <w:t xml:space="preserve">- Contract start dates, end dates, and renewal terms</w:t>
      </w:r>
    </w:p>
    <w:p>
      <w:r>
        <w:pict>
          <v:rect style="width:0;height:1.5pt" o:hralign="center" o:hrstd="t" o:hr="t"/>
        </w:pict>
      </w:r>
    </w:p>
    <w:bookmarkEnd w:id="13"/>
    <w:bookmarkStart w:id="14" w:name="part-3-policies-and-governance"/>
    <w:p>
      <w:pPr>
        <w:pStyle w:val="Heading3"/>
      </w:pPr>
      <w:r>
        <w:t xml:space="preserve">PART 3: POLICIES AND GOVERNANCE</w:t>
      </w:r>
    </w:p>
    <w:p>
      <w:pPr>
        <w:pStyle w:val="Compact"/>
        <w:numPr>
          <w:ilvl w:val="0"/>
          <w:numId w:val="1001"/>
        </w:numPr>
      </w:pPr>
      <w:r>
        <w:t xml:space="preserve">All policies, procedures, and guidelines governing the use of each surveillance technology</w:t>
      </w:r>
    </w:p>
    <w:p>
      <w:pPr>
        <w:pStyle w:val="Compact"/>
        <w:numPr>
          <w:ilvl w:val="0"/>
          <w:numId w:val="1001"/>
        </w:numPr>
      </w:pPr>
      <w:r>
        <w:t xml:space="preserve">All privacy impact assessments, civil liberties reviews, or equity assessments</w:t>
      </w:r>
    </w:p>
    <w:p>
      <w:pPr>
        <w:pStyle w:val="Compact"/>
        <w:numPr>
          <w:ilvl w:val="0"/>
          <w:numId w:val="1001"/>
        </w:numPr>
      </w:pPr>
      <w:r>
        <w:t xml:space="preserve">All legal opinions from agency counsel regarding surveillance technology use</w:t>
      </w:r>
    </w:p>
    <w:p>
      <w:pPr>
        <w:pStyle w:val="Compact"/>
        <w:numPr>
          <w:ilvl w:val="0"/>
          <w:numId w:val="1001"/>
        </w:numPr>
      </w:pPr>
      <w:r>
        <w:t xml:space="preserve">All training materials for authorized personnel</w:t>
      </w:r>
    </w:p>
    <w:p>
      <w:pPr>
        <w:pStyle w:val="Compact"/>
        <w:numPr>
          <w:ilvl w:val="0"/>
          <w:numId w:val="1001"/>
        </w:numPr>
      </w:pPr>
      <w:r>
        <w:t xml:space="preserve">All records of public notice, community input, or legislative approval sought before deploying surveillance technologies</w:t>
      </w:r>
    </w:p>
    <w:p>
      <w:r>
        <w:pict>
          <v:rect style="width:0;height:1.5pt" o:hralign="center" o:hrstd="t" o:hr="t"/>
        </w:pict>
      </w:r>
    </w:p>
    <w:bookmarkEnd w:id="14"/>
    <w:bookmarkStart w:id="15" w:name="part-4-data-sharing-and-federal-access"/>
    <w:p>
      <w:pPr>
        <w:pStyle w:val="Heading3"/>
      </w:pPr>
      <w:r>
        <w:t xml:space="preserve">PART 4: DATA SHARING AND FEDERAL ACCESS</w:t>
      </w:r>
    </w:p>
    <w:p>
      <w:pPr>
        <w:pStyle w:val="Compact"/>
        <w:numPr>
          <w:ilvl w:val="0"/>
          <w:numId w:val="1002"/>
        </w:numPr>
      </w:pPr>
      <w:r>
        <w:t xml:space="preserve">All agreements allowing other agencies to access surveillance data or systems</w:t>
      </w:r>
    </w:p>
    <w:p>
      <w:pPr>
        <w:pStyle w:val="Compact"/>
        <w:numPr>
          <w:ilvl w:val="0"/>
          <w:numId w:val="1002"/>
        </w:numPr>
      </w:pPr>
      <w:r>
        <w:t xml:space="preserve">All records of federal agency access to local surveillance data, including access by</w:t>
      </w:r>
      <w:r>
        <w:t xml:space="preserve"> </w:t>
      </w:r>
      <w:r>
        <w:rPr>
          <w:b/>
          <w:bCs/>
        </w:rPr>
        <w:t xml:space="preserve">ICE, CBP, FBI, DEA, ATF, DHS, Secret Service</w:t>
      </w:r>
      <w:r>
        <w:t xml:space="preserve">, or any Joint Terrorism Task Force</w:t>
      </w:r>
    </w:p>
    <w:p>
      <w:pPr>
        <w:pStyle w:val="Compact"/>
        <w:numPr>
          <w:ilvl w:val="0"/>
          <w:numId w:val="1002"/>
        </w:numPr>
      </w:pPr>
      <w:r>
        <w:t xml:space="preserve">All records of data shared with or received from federal agencies</w:t>
      </w:r>
    </w:p>
    <w:p>
      <w:pPr>
        <w:pStyle w:val="Compact"/>
        <w:numPr>
          <w:ilvl w:val="0"/>
          <w:numId w:val="1002"/>
        </w:numPr>
      </w:pPr>
      <w:r>
        <w:t xml:space="preserve">All non-disclosure agreements with federal agencies or technology vendors</w:t>
      </w:r>
    </w:p>
    <w:p>
      <w:pPr>
        <w:pStyle w:val="Compact"/>
        <w:numPr>
          <w:ilvl w:val="0"/>
          <w:numId w:val="1002"/>
        </w:numPr>
      </w:pPr>
      <w:r>
        <w:t xml:space="preserve">All records demonstrating compliance with Washington’s</w:t>
      </w:r>
      <w:r>
        <w:t xml:space="preserve"> </w:t>
      </w:r>
      <w:r>
        <w:rPr>
          <w:b/>
          <w:bCs/>
        </w:rPr>
        <w:t xml:space="preserve">Shield Law (RCW 10.93.160)</w:t>
      </w:r>
      <w:r>
        <w:t xml:space="preserve"> </w:t>
      </w:r>
      <w:r>
        <w:t xml:space="preserve">regarding immigration enforcement</w:t>
      </w:r>
    </w:p>
    <w:p>
      <w:r>
        <w:pict>
          <v:rect style="width:0;height:1.5pt" o:hralign="center" o:hrstd="t" o:hr="t"/>
        </w:pict>
      </w:r>
    </w:p>
    <w:bookmarkEnd w:id="15"/>
    <w:bookmarkStart w:id="16" w:name="part-5-oversight-and-accountability"/>
    <w:p>
      <w:pPr>
        <w:pStyle w:val="Heading3"/>
      </w:pPr>
      <w:r>
        <w:t xml:space="preserve">PART 5: OVERSIGHT AND ACCOUNTABILITY</w:t>
      </w:r>
    </w:p>
    <w:p>
      <w:pPr>
        <w:pStyle w:val="Compact"/>
        <w:numPr>
          <w:ilvl w:val="0"/>
          <w:numId w:val="1003"/>
        </w:numPr>
      </w:pPr>
      <w:r>
        <w:t xml:space="preserve">All internal audits, reviews, or reports evaluating surveillance technology use</w:t>
      </w:r>
    </w:p>
    <w:p>
      <w:pPr>
        <w:pStyle w:val="Compact"/>
        <w:numPr>
          <w:ilvl w:val="0"/>
          <w:numId w:val="1003"/>
        </w:numPr>
      </w:pPr>
      <w:r>
        <w:t xml:space="preserve">All external audits conducted by oversight bodies, inspectors general, or consultants</w:t>
      </w:r>
    </w:p>
    <w:p>
      <w:pPr>
        <w:pStyle w:val="Compact"/>
        <w:numPr>
          <w:ilvl w:val="0"/>
          <w:numId w:val="1003"/>
        </w:numPr>
      </w:pPr>
      <w:r>
        <w:t xml:space="preserve">All complaints, legal challenges, or civil rights claims related to surveillance technology use</w:t>
      </w:r>
    </w:p>
    <w:p>
      <w:pPr>
        <w:pStyle w:val="Compact"/>
        <w:numPr>
          <w:ilvl w:val="0"/>
          <w:numId w:val="1003"/>
        </w:numPr>
      </w:pPr>
      <w:r>
        <w:t xml:space="preserve">All records of city council, county commission, or oversight board discussions regarding surveillance technology</w:t>
      </w:r>
    </w:p>
    <w:p>
      <w:pPr>
        <w:pStyle w:val="Compact"/>
        <w:numPr>
          <w:ilvl w:val="0"/>
          <w:numId w:val="1003"/>
        </w:numPr>
      </w:pPr>
      <w:r>
        <w:t xml:space="preserve">All annual or periodic reports produced regarding surveillance technology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gal-basis"/>
    <w:p>
      <w:pPr>
        <w:pStyle w:val="Heading2"/>
      </w:pPr>
      <w:r>
        <w:t xml:space="preserve">LEGAL BASIS</w:t>
      </w:r>
    </w:p>
    <w:p>
      <w:pPr>
        <w:pStyle w:val="FirstParagraph"/>
      </w:pPr>
      <w:r>
        <w:t xml:space="preserve">This request is made under the</w:t>
      </w:r>
      <w:r>
        <w:t xml:space="preserve"> </w:t>
      </w:r>
      <w:r>
        <w:rPr>
          <w:b/>
          <w:bCs/>
        </w:rPr>
        <w:t xml:space="preserve">Washington Public Records Act (RCW 42.56)</w:t>
      </w:r>
      <w:r>
        <w:t xml:space="preserve">, which provides a strong presumption of public access to government records.</w:t>
      </w:r>
    </w:p>
    <w:p>
      <w:pPr>
        <w:pStyle w:val="BodyText"/>
      </w:pPr>
      <w:r>
        <w:t xml:space="preserve">Key Washington laws governing surveillance: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RCW 42.56</w:t>
      </w:r>
      <w:r>
        <w:t xml:space="preserve"> </w:t>
      </w:r>
      <w:r>
        <w:t xml:space="preserve">— Public Records Act (broad right of access)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RCW 9.73</w:t>
      </w:r>
      <w:r>
        <w:t xml:space="preserve"> </w:t>
      </w:r>
      <w:r>
        <w:t xml:space="preserve">— Privacy Act (warrant requirements for electronic surveillance)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RCW 10.93.160</w:t>
      </w:r>
      <w:r>
        <w:t xml:space="preserve"> </w:t>
      </w:r>
      <w:r>
        <w:t xml:space="preserve">— Shield Law (prohibits immigration enforcement cooperation)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SB 6280 (2020)</w:t>
      </w:r>
      <w:r>
        <w:t xml:space="preserve"> </w:t>
      </w:r>
      <w:r>
        <w:t xml:space="preserve">— Facial Recognition Accountability Law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Rodriguez v. City of Sedro Woolley (2025)</w:t>
      </w:r>
      <w:r>
        <w:t xml:space="preserve"> </w:t>
      </w:r>
      <w:r>
        <w:t xml:space="preserve">— Court confirmed surveillance data is public record</w:t>
      </w:r>
    </w:p>
    <w:p>
      <w:r>
        <w:pict>
          <v:rect style="width:0;height:1.5pt" o:hralign="center" o:hrstd="t" o:hr="t"/>
        </w:pict>
      </w:r>
    </w:p>
    <w:bookmarkEnd w:id="18"/>
    <w:bookmarkStart w:id="19" w:name="format-and-delivery"/>
    <w:p>
      <w:pPr>
        <w:pStyle w:val="Heading2"/>
      </w:pPr>
      <w:r>
        <w:t xml:space="preserve">FORMAT AND DELIVERY</w:t>
      </w:r>
    </w:p>
    <w:p>
      <w:pPr>
        <w:pStyle w:val="FirstParagraph"/>
      </w:pPr>
      <w:r>
        <w:t xml:space="preserve">I request that responsive records be provided in</w:t>
      </w:r>
      <w:r>
        <w:t xml:space="preserve"> </w:t>
      </w:r>
      <w:r>
        <w:rPr>
          <w:b/>
          <w:bCs/>
        </w:rPr>
        <w:t xml:space="preserve">electronic format</w:t>
      </w:r>
      <w:r>
        <w:t xml:space="preserve"> </w:t>
      </w:r>
      <w:r>
        <w:t xml:space="preserve">(PDF, Word, Excel, or native format) via email to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t xml:space="preserve">where possible.</w:t>
      </w:r>
    </w:p>
    <w:p>
      <w:pPr>
        <w:pStyle w:val="BodyText"/>
      </w:pPr>
      <w:r>
        <w:t xml:space="preserve">Given the breadth of this request, I am willing to accept records on a rolling basis as they become available. Please begin production with whichever category can be produced most quickly.</w:t>
      </w:r>
    </w:p>
    <w:p>
      <w:r>
        <w:pict>
          <v:rect style="width:0;height:1.5pt" o:hralign="center" o:hrstd="t" o:hr="t"/>
        </w:pict>
      </w:r>
    </w:p>
    <w:bookmarkEnd w:id="19"/>
    <w:bookmarkStart w:id="20" w:name="fee-waiver-request"/>
    <w:p>
      <w:pPr>
        <w:pStyle w:val="Heading2"/>
      </w:pPr>
      <w:r>
        <w:t xml:space="preserve">FEE WAIVER REQUEST</w:t>
      </w:r>
    </w:p>
    <w:p>
      <w:pPr>
        <w:pStyle w:val="FirstParagraph"/>
      </w:pPr>
      <w:r>
        <w:t xml:space="preserve">I request a waiver of fees. Disclosure is in the public interest as it provides a comprehensive view of government surveillance capabilities affecting the rights of all community members.</w:t>
      </w:r>
    </w:p>
    <w:p>
      <w:pPr>
        <w:pStyle w:val="BodyText"/>
      </w:pPr>
      <w:r>
        <w:t xml:space="preserve">If fees cannot be waived, please notify me before charges exceed</w:t>
      </w:r>
      <w:r>
        <w:t xml:space="preserve"> </w:t>
      </w:r>
      <w:r>
        <w:rPr>
          <w:b/>
          <w:bCs/>
        </w:rPr>
        <w:t xml:space="preserve">$50.00</w:t>
      </w:r>
      <w:r>
        <w:t xml:space="preserve"> </w:t>
      </w:r>
      <w:r>
        <w:t xml:space="preserve">and provide an itemized estimate.</w:t>
      </w:r>
    </w:p>
    <w:p>
      <w:r>
        <w:pict>
          <v:rect style="width:0;height:1.5pt" o:hralign="center" o:hrstd="t" o:hr="t"/>
        </w:pict>
      </w:r>
    </w:p>
    <w:bookmarkEnd w:id="20"/>
    <w:bookmarkStart w:id="21" w:name="response-timeline"/>
    <w:p>
      <w:pPr>
        <w:pStyle w:val="Heading2"/>
      </w:pPr>
      <w:r>
        <w:t xml:space="preserve">RESPONSE TIMELINE</w:t>
      </w:r>
    </w:p>
    <w:p>
      <w:pPr>
        <w:pStyle w:val="FirstParagraph"/>
      </w:pPr>
      <w:r>
        <w:t xml:space="preserve">Under RCW 42.56.520, you are required to respond within</w:t>
      </w:r>
      <w:r>
        <w:t xml:space="preserve"> </w:t>
      </w:r>
      <w:r>
        <w:rPr>
          <w:b/>
          <w:bCs/>
        </w:rPr>
        <w:t xml:space="preserve">five (5) business days</w:t>
      </w:r>
      <w:r>
        <w:t xml:space="preserve"> </w:t>
      </w:r>
      <w:r>
        <w:t xml:space="preserve">with either responsive records or an estimate of time needed for production.</w:t>
      </w:r>
    </w:p>
    <w:p>
      <w:pPr>
        <w:pStyle w:val="BodyText"/>
      </w:pPr>
      <w:r>
        <w:t xml:space="preserve">If any records are withheld, please cite the specific exemption(s) and provide a log of withheld documents. Federal non-disclosure agreements do not override the Washington Public Records Act.</w:t>
      </w:r>
    </w:p>
    <w:p>
      <w:r>
        <w:pict>
          <v:rect style="width:0;height:1.5pt" o:hralign="center" o:hrstd="t" o:hr="t"/>
        </w:pict>
      </w:r>
    </w:p>
    <w:bookmarkEnd w:id="21"/>
    <w:bookmarkStart w:id="22" w:name="note-on-scope"/>
    <w:p>
      <w:pPr>
        <w:pStyle w:val="Heading2"/>
      </w:pPr>
      <w:r>
        <w:t xml:space="preserve">NOTE ON SCOPE</w:t>
      </w:r>
    </w:p>
    <w:p>
      <w:pPr>
        <w:pStyle w:val="FirstParagraph"/>
      </w:pPr>
      <w:r>
        <w:t xml:space="preserve">I understand this is a broad request. If you would like to discuss narrowing the scope or phasing production, please contact me. I am happy to work with your office to facilitate timely and complete production. However, I do expect a good-faith effort to identify and produce all responsive records.</w:t>
      </w:r>
    </w:p>
    <w:p>
      <w:r>
        <w:pict>
          <v:rect style="width:0;height:1.5pt" o:hralign="center" o:hrstd="t" o:hr="t"/>
        </w:pict>
      </w:r>
    </w:p>
    <w:bookmarkEnd w:id="22"/>
    <w:bookmarkStart w:id="23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[YOUR NAME]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rPr>
          <w:b/>
          <w:bCs/>
        </w:rPr>
        <w:t xml:space="preserve">[YOUR PHONE]</w:t>
      </w:r>
    </w:p>
    <w:p>
      <w:pPr>
        <w:pStyle w:val="BodyText"/>
      </w:pPr>
      <w:r>
        <w:t xml:space="preserve">Thank you for your prompt attention to this comprehensive request.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template was prepared using resources from the WA Surveillance Watch Toolkit.</w:t>
      </w:r>
      <w:r>
        <w:t xml:space="preserve"> </w:t>
      </w:r>
      <w:r>
        <w:rPr>
          <w:i/>
          <w:iCs/>
        </w:rPr>
        <w:t xml:space="preserve">Visit: wasurveillancewatch.org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2026-01-31T22:29:37Z</dcterms:created>
  <dcterms:modified xsi:type="dcterms:W3CDTF">2026-01-31T22:29:37Z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