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COMPROVANTE FORMAL DE CONTRATAÇÃO E ATIVAÇÃO</w:t>
      </w:r>
    </w:p>
    <w:p>
      <w:pPr>
        <w:spacing w:after="200" w:line="259" w:lineRule="auto"/>
        <w:jc w:val="center"/>
      </w:pPr>
      <w:r>
        <w:rPr>
          <w:rFonts w:ascii="Times New Roman" w:hAnsi="Times New Roman"/>
          <w:b/>
          <w:color w:val="334155"/>
          <w:sz w:val="22"/>
        </w:rPr>
        <w:t>SURVEYOR PRO ANUAL</w:t>
      </w:r>
    </w:p>
    <w:p>
      <w:pPr>
        <w:spacing w:after="200" w:line="259" w:lineRule="auto"/>
        <w:jc w:val="right"/>
      </w:pPr>
      <w:r>
        <w:rPr>
          <w:rFonts w:ascii="Times New Roman" w:hAnsi="Times New Roman"/>
          <w:b/>
          <w:color w:val="475569"/>
          <w:sz w:val="16"/>
        </w:rPr>
        <w:t>Documento nº [PREENCHIDO AUTOMATICAMENTE PELO SISTEMA]</w:t>
      </w:r>
    </w:p>
    <w:p>
      <w:pPr>
        <w:spacing w:after="240" w:line="259" w:lineRule="auto"/>
        <w:jc w:val="center"/>
      </w:pPr>
      <w:r>
        <w:rPr>
          <w:rFonts w:ascii="Times New Roman" w:hAnsi="Times New Roman"/>
          <w:b/>
          <w:sz w:val="20"/>
        </w:rPr>
        <w:t>REGISTRO ADMINISTRATIVO DE PAGAMENTO E VIGÊNCIA</w:t>
      </w:r>
    </w:p>
    <w:p>
      <w:pPr>
        <w:pStyle w:val="Heading1"/>
      </w:pPr>
      <w:r>
        <w:t>I — IDENTIFICAÇÃO E REGISTRO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CA3AF"/>
          <w:left w:val="single" w:sz="6" w:color="9CA3AF"/>
          <w:bottom w:val="single" w:sz="6" w:color="9CA3AF"/>
          <w:right w:val="single" w:sz="6" w:color="9CA3AF"/>
          <w:insideH w:val="single" w:sz="6" w:color="9CA3AF"/>
          <w:insideV w:val="single" w:sz="6" w:color="9CA3AF"/>
        </w:tblBorders>
      </w:tblPr>
      <w:tblGrid>
        <w:gridCol w:w="4986"/>
        <w:gridCol w:w="4986"/>
      </w:tblGrid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6803"/>
            <w:vAlign w:val="center"/>
          </w:tcPr>
          <w:p>
            <w:r>
              <w:t>[CÓDIGO AUTOMÁTICO]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Cliente</w:t>
            </w:r>
          </w:p>
        </w:tc>
        <w:tc>
          <w:tcPr>
            <w:tcW w:type="dxa" w:w="6803"/>
            <w:vAlign w:val="center"/>
          </w:tcPr>
          <w:p>
            <w:r>
              <w:t>[NOME DO CLIENTE]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CPF/CNPJ</w:t>
            </w:r>
          </w:p>
        </w:tc>
        <w:tc>
          <w:tcPr>
            <w:tcW w:type="dxa" w:w="6803"/>
            <w:vAlign w:val="center"/>
          </w:tcPr>
          <w:p>
            <w:r>
              <w:t>[CPF/CNPJ]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E-mail</w:t>
            </w:r>
          </w:p>
        </w:tc>
        <w:tc>
          <w:tcPr>
            <w:tcW w:type="dxa" w:w="6803"/>
            <w:vAlign w:val="center"/>
          </w:tcPr>
          <w:p>
            <w:r>
              <w:t>[E-MAIL]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Plano contratado</w:t>
            </w:r>
          </w:p>
        </w:tc>
        <w:tc>
          <w:tcPr>
            <w:tcW w:type="dxa" w:w="6803"/>
            <w:vAlign w:val="center"/>
          </w:tcPr>
          <w:p>
            <w:r>
              <w:t>Surveyor Pro Anual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Valor pago</w:t>
            </w:r>
          </w:p>
        </w:tc>
        <w:tc>
          <w:tcPr>
            <w:tcW w:type="dxa" w:w="6803"/>
            <w:vAlign w:val="center"/>
          </w:tcPr>
          <w:p>
            <w:r>
              <w:t>R$ 1.497,00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Forma de pagamento</w:t>
            </w:r>
          </w:p>
        </w:tc>
        <w:tc>
          <w:tcPr>
            <w:tcW w:type="dxa" w:w="6803"/>
            <w:vAlign w:val="center"/>
          </w:tcPr>
          <w:p>
            <w:r>
              <w:t>[FORMA DE PAGAMENTO]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Data do pagamento</w:t>
            </w:r>
          </w:p>
        </w:tc>
        <w:tc>
          <w:tcPr>
            <w:tcW w:type="dxa" w:w="6803"/>
            <w:vAlign w:val="center"/>
          </w:tcPr>
          <w:p>
            <w:r>
              <w:t>[DD/MM/AAAA]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Início do acesso</w:t>
            </w:r>
          </w:p>
        </w:tc>
        <w:tc>
          <w:tcPr>
            <w:tcW w:type="dxa" w:w="6803"/>
            <w:vAlign w:val="center"/>
          </w:tcPr>
          <w:p>
            <w:r>
              <w:t>[DD/MM/AAAA]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Vencimento do acesso</w:t>
            </w:r>
          </w:p>
        </w:tc>
        <w:tc>
          <w:tcPr>
            <w:tcW w:type="dxa" w:w="6803"/>
            <w:vAlign w:val="center"/>
          </w:tcPr>
          <w:p>
            <w:r>
              <w:t>[DD/MM/AAAA]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Situação contratual</w:t>
            </w:r>
          </w:p>
        </w:tc>
        <w:tc>
          <w:tcPr>
            <w:tcW w:type="dxa" w:w="6803"/>
            <w:vAlign w:val="center"/>
          </w:tcPr>
          <w:p>
            <w:r>
              <w:t>PAGAMENTO CONFIRMADO E ACESSO ATIVADO</w:t>
            </w:r>
          </w:p>
        </w:tc>
      </w:tr>
    </w:tbl>
    <w:p>
      <w:pPr>
        <w:spacing w:after="40"/>
      </w:pPr>
    </w:p>
    <w:p>
      <w:pPr>
        <w:pStyle w:val="Heading1"/>
      </w:pPr>
      <w:r>
        <w:t>II — DADOS DE ACESSO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CA3AF"/>
          <w:left w:val="single" w:sz="6" w:color="9CA3AF"/>
          <w:bottom w:val="single" w:sz="6" w:color="9CA3AF"/>
          <w:right w:val="single" w:sz="6" w:color="9CA3AF"/>
          <w:insideH w:val="single" w:sz="6" w:color="9CA3AF"/>
          <w:insideV w:val="single" w:sz="6" w:color="9CA3AF"/>
        </w:tblBorders>
      </w:tblPr>
      <w:tblGrid>
        <w:gridCol w:w="4986"/>
        <w:gridCol w:w="4986"/>
      </w:tblGrid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E-mail de acesso</w:t>
            </w:r>
          </w:p>
        </w:tc>
        <w:tc>
          <w:tcPr>
            <w:tcW w:type="dxa" w:w="6803"/>
            <w:vAlign w:val="center"/>
          </w:tcPr>
          <w:p>
            <w:r>
              <w:t>[E-MAIL DE ACESSO]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Senha temporária</w:t>
            </w:r>
          </w:p>
        </w:tc>
        <w:tc>
          <w:tcPr>
            <w:tcW w:type="dxa" w:w="6803"/>
            <w:vAlign w:val="center"/>
          </w:tcPr>
          <w:p>
            <w:r>
              <w:t>[OPCIONAL — NÃO ARMAZENADA PELO GERADOR]</w:t>
            </w:r>
          </w:p>
        </w:tc>
      </w:tr>
    </w:tbl>
    <w:p>
      <w:pPr>
        <w:spacing w:after="40"/>
      </w:pPr>
    </w:p>
    <w:p>
      <w:pPr>
        <w:spacing w:after="140" w:line="259" w:lineRule="auto"/>
      </w:pPr>
      <w:r>
        <w:rPr>
          <w:rFonts w:ascii="Times New Roman" w:hAnsi="Times New Roman"/>
          <w:b w:val="0"/>
          <w:sz w:val="18"/>
        </w:rPr>
        <w:t>Por segurança, a senha temporária deverá ser alterada no primeiro acesso. O gerador limpa esse campo após a emissão do documento.</w:t>
      </w:r>
    </w:p>
    <w:p>
      <w:pPr>
        <w:pStyle w:val="Heading1"/>
      </w:pPr>
      <w:r>
        <w:t>III — ESCOPO DO PLANO ATIVADO</w:t>
      </w:r>
    </w:p>
    <w:p>
      <w:pPr>
        <w:pStyle w:val="ListBullet"/>
        <w:spacing w:after="40"/>
      </w:pPr>
      <w:r>
        <w:t>Todos os recursos do Plus</w:t>
      </w:r>
    </w:p>
    <w:p>
      <w:pPr>
        <w:pStyle w:val="ListBullet"/>
        <w:spacing w:after="40"/>
      </w:pPr>
      <w:r>
        <w:t>Projetos, usuários e armazenamento sem quota comercial fixa</w:t>
      </w:r>
    </w:p>
    <w:p>
      <w:pPr>
        <w:pStyle w:val="ListBullet"/>
        <w:spacing w:after="40"/>
      </w:pPr>
      <w:r>
        <w:t>Histórico completo, modelos, lixeira, travamento e exportação ZIP</w:t>
      </w:r>
    </w:p>
    <w:p>
      <w:pPr>
        <w:pStyle w:val="ListBullet"/>
        <w:spacing w:after="40"/>
      </w:pPr>
      <w:r>
        <w:t>Geometria, SIG, terreno, Planialtimetria/MDT, Ambiental e REURB completos</w:t>
      </w:r>
    </w:p>
    <w:p>
      <w:pPr>
        <w:pStyle w:val="ListBullet"/>
        <w:spacing w:after="40"/>
      </w:pPr>
      <w:r>
        <w:t>Compartilhamento completo e revogável</w:t>
      </w:r>
    </w:p>
    <w:p>
      <w:pPr>
        <w:pStyle w:val="ListBullet"/>
        <w:spacing w:after="40"/>
      </w:pPr>
      <w:r>
        <w:t>Recursos administrativos quando provisionados</w:t>
      </w:r>
    </w:p>
    <w:p>
      <w:pPr>
        <w:pStyle w:val="ListBullet"/>
        <w:spacing w:after="40"/>
      </w:pPr>
      <w:r>
        <w:t>Suporte prioritário</w:t>
      </w:r>
    </w:p>
    <w:p>
      <w:pPr>
        <w:pStyle w:val="ListBullet"/>
        <w:spacing w:after="40"/>
      </w:pPr>
      <w:r>
        <w:t>Geração de documentos sem limite comercial</w:t>
      </w:r>
    </w:p>
    <w:p>
      <w:pPr>
        <w:pStyle w:val="Heading1"/>
      </w:pPr>
      <w:r>
        <w:t>IV — LIMITES COMERCIAIS</w:t>
      </w:r>
    </w:p>
    <w:p>
      <w:pPr>
        <w:pStyle w:val="ListBullet"/>
        <w:spacing w:after="40"/>
      </w:pPr>
      <w:r>
        <w:t>Usuários ilimitados</w:t>
      </w:r>
    </w:p>
    <w:p>
      <w:pPr>
        <w:pStyle w:val="ListBullet"/>
        <w:spacing w:after="40"/>
      </w:pPr>
      <w:r>
        <w:t>Projetos ilimitados</w:t>
      </w:r>
    </w:p>
    <w:p>
      <w:pPr>
        <w:pStyle w:val="ListBullet"/>
        <w:spacing w:after="40"/>
      </w:pPr>
      <w:r>
        <w:t>Armazenamento ilimitado</w:t>
      </w:r>
    </w:p>
    <w:p>
      <w:pPr>
        <w:pStyle w:val="Heading1"/>
      </w:pPr>
      <w:r>
        <w:t>V — DECLARAÇÃO ADMINISTRATIVA</w:t>
      </w:r>
    </w:p>
    <w:p>
      <w:pPr>
        <w:spacing w:after="100" w:line="259" w:lineRule="auto"/>
      </w:pPr>
      <w:r>
        <w:rPr>
          <w:rFonts w:ascii="Times New Roman" w:hAnsi="Times New Roman"/>
          <w:b w:val="0"/>
        </w:rPr>
        <w:t>Este comprovante registra o recebimento do valor de R$ 1.497,00, a contratação do plano Surveyor Pro Anual e a ativação do acesso pelo período de 365 dias, observadas as datas efetivamente preenchidas pelo administrador.</w:t>
      </w:r>
    </w:p>
    <w:p>
      <w:pPr>
        <w:spacing w:after="100" w:line="259" w:lineRule="auto"/>
      </w:pPr>
      <w:r>
        <w:rPr>
          <w:rFonts w:ascii="Times New Roman" w:hAnsi="Times New Roman"/>
          <w:b w:val="0"/>
        </w:rPr>
        <w:t>A renovação não é automática. Após o vencimento sem renovação, o acesso poderá ser bloqueado até a regularização financeira e a reativação administrativa.</w:t>
      </w:r>
    </w:p>
    <w:p>
      <w:pPr>
        <w:spacing w:after="100" w:line="259" w:lineRule="auto"/>
      </w:pPr>
      <w:r>
        <w:rPr>
          <w:rFonts w:ascii="Times New Roman" w:hAnsi="Times New Roman"/>
          <w:b w:val="0"/>
        </w:rPr>
        <w:t>O cliente deverá conferir os dados constantes neste comprovante e comunicar divergências ao suporte oficial.</w:t>
      </w:r>
    </w:p>
    <w:p>
      <w:pPr>
        <w:spacing w:after="160" w:line="259" w:lineRule="auto"/>
        <w:jc w:val="right"/>
      </w:pPr>
      <w:r>
        <w:rPr>
          <w:rFonts w:ascii="Times New Roman" w:hAnsi="Times New Roman"/>
          <w:b w:val="0"/>
          <w:sz w:val="20"/>
        </w:rPr>
        <w:t>[CIDADE/UF], [DATA DE EMISSÃO POR EXTENSO].</w:t>
      </w:r>
    </w:p>
    <w:p>
      <w:pPr>
        <w:spacing w:after="160"/>
      </w:pPr>
    </w:p>
    <w:p>
      <w:pPr>
        <w:pStyle w:val="Heading1"/>
        <w:jc w:val="center"/>
      </w:pPr>
      <w:r>
        <w:t>ASSINATURA ADMINISTRATIVA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6B7280"/>
          <w:left w:val="single" w:sz="6" w:color="6B7280"/>
          <w:bottom w:val="single" w:sz="6" w:color="6B7280"/>
          <w:right w:val="single" w:sz="6" w:color="6B7280"/>
          <w:insideH w:val="single" w:sz="6" w:color="6B7280"/>
          <w:insideV w:val="single" w:sz="6" w:color="6B7280"/>
        </w:tblBorders>
      </w:tblPr>
      <w:tblGrid>
        <w:gridCol w:w="7370"/>
      </w:tblGrid>
      <w:tr>
        <w:tc>
          <w:tcPr>
            <w:tcW w:type="dxa" w:w="9972"/>
            <w:shd w:fill="FFFFFF"/>
          </w:tcPr>
          <w:p>
            <w:pPr>
              <w:spacing w:before="560"/>
              <w:jc w:val="center"/>
            </w:pPr>
            <w:r>
              <w:rPr>
                <w:i/>
                <w:color w:val="6B7280"/>
                <w:sz w:val="18"/>
              </w:rPr>
              <w:t>[ASSINATURA POSICIONADA PELO ADMINISTRADOR]</w:t>
            </w:r>
          </w:p>
        </w:tc>
      </w:tr>
    </w:tbl>
    <w:p>
      <w:pPr>
        <w:spacing w:after="20" w:line="259" w:lineRule="auto"/>
        <w:jc w:val="center"/>
      </w:pPr>
      <w:r>
        <w:rPr>
          <w:rFonts w:ascii="Times New Roman" w:hAnsi="Times New Roman"/>
          <w:b/>
          <w:sz w:val="20"/>
        </w:rPr>
        <w:t>[NOME DO RESPONSÁVEL]</w:t>
      </w:r>
    </w:p>
    <w:p>
      <w:pPr>
        <w:spacing w:after="40" w:line="259" w:lineRule="auto"/>
        <w:jc w:val="center"/>
      </w:pPr>
      <w:r>
        <w:rPr>
          <w:rFonts w:ascii="Times New Roman" w:hAnsi="Times New Roman"/>
          <w:b w:val="0"/>
          <w:sz w:val="18"/>
        </w:rPr>
        <w:t>Responsável administrativo pelo Surveyor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Documento emitido pelo módulo administrativo do Surveyor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b/>
        <w:color w:val="475569"/>
        <w:sz w:val="16"/>
      </w:rPr>
      <w:t>SURVEYOR — DOCUMENTAÇÃO ADMINISTRATIVA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203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