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INSTRUMENTO PARTICULAR DE ADESÃO E CIÊNCIA</w:t>
      </w:r>
    </w:p>
    <w:p>
      <w:pPr>
        <w:spacing w:after="200" w:line="259" w:lineRule="auto"/>
        <w:jc w:val="center"/>
      </w:pPr>
      <w:r>
        <w:rPr>
          <w:rFonts w:ascii="Times New Roman" w:hAnsi="Times New Roman"/>
          <w:b/>
          <w:color w:val="334155"/>
          <w:sz w:val="22"/>
        </w:rPr>
        <w:t>SURVEYOR BÁSICO ANUAL</w:t>
      </w:r>
    </w:p>
    <w:p>
      <w:pPr>
        <w:spacing w:after="200" w:line="259" w:lineRule="auto"/>
        <w:jc w:val="right"/>
      </w:pPr>
      <w:r>
        <w:rPr>
          <w:rFonts w:ascii="Times New Roman" w:hAnsi="Times New Roman"/>
          <w:b/>
          <w:color w:val="475569"/>
          <w:sz w:val="16"/>
        </w:rPr>
        <w:t>Documento nº [PREENCHIDO AUTOMATICAMENTE PELO SISTEMA]</w:t>
      </w:r>
    </w:p>
    <w:p>
      <w:pPr>
        <w:pStyle w:val="Heading1"/>
      </w:pPr>
      <w:r>
        <w:t>I — IDENTIFICAÇÃO DO CONTRATANTE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CA3AF"/>
          <w:left w:val="single" w:sz="6" w:color="9CA3AF"/>
          <w:bottom w:val="single" w:sz="6" w:color="9CA3AF"/>
          <w:right w:val="single" w:sz="6" w:color="9CA3AF"/>
          <w:insideH w:val="single" w:sz="6" w:color="9CA3AF"/>
          <w:insideV w:val="single" w:sz="6" w:color="9CA3AF"/>
        </w:tblBorders>
      </w:tblPr>
      <w:tblGrid>
        <w:gridCol w:w="4986"/>
        <w:gridCol w:w="4986"/>
      </w:tblGrid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Nome/Razão social</w:t>
            </w:r>
          </w:p>
        </w:tc>
        <w:tc>
          <w:tcPr>
            <w:tcW w:type="dxa" w:w="6803"/>
            <w:vAlign w:val="center"/>
          </w:tcPr>
          <w:p>
            <w:r>
              <w:t>[NOME DO CLIENTE]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CPF/CNPJ</w:t>
            </w:r>
          </w:p>
        </w:tc>
        <w:tc>
          <w:tcPr>
            <w:tcW w:type="dxa" w:w="6803"/>
            <w:vAlign w:val="center"/>
          </w:tcPr>
          <w:p>
            <w:r>
              <w:t>[CPF/CNPJ]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E-mail</w:t>
            </w:r>
          </w:p>
        </w:tc>
        <w:tc>
          <w:tcPr>
            <w:tcW w:type="dxa" w:w="6803"/>
            <w:vAlign w:val="center"/>
          </w:tcPr>
          <w:p>
            <w:r>
              <w:t>[E-MAIL]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Telefone</w:t>
            </w:r>
          </w:p>
        </w:tc>
        <w:tc>
          <w:tcPr>
            <w:tcW w:type="dxa" w:w="6803"/>
            <w:vAlign w:val="center"/>
          </w:tcPr>
          <w:p>
            <w:r>
              <w:t>[TELEFONE — OPCIONAL]</w:t>
            </w:r>
          </w:p>
        </w:tc>
      </w:tr>
    </w:tbl>
    <w:p>
      <w:pPr>
        <w:spacing w:after="40"/>
      </w:pPr>
    </w:p>
    <w:p>
      <w:pPr>
        <w:pStyle w:val="Heading1"/>
      </w:pPr>
      <w:r>
        <w:t>II — DADOS DA CONTRATAÇÃO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CA3AF"/>
          <w:left w:val="single" w:sz="6" w:color="9CA3AF"/>
          <w:bottom w:val="single" w:sz="6" w:color="9CA3AF"/>
          <w:right w:val="single" w:sz="6" w:color="9CA3AF"/>
          <w:insideH w:val="single" w:sz="6" w:color="9CA3AF"/>
          <w:insideV w:val="single" w:sz="6" w:color="9CA3AF"/>
        </w:tblBorders>
      </w:tblPr>
      <w:tblGrid>
        <w:gridCol w:w="4986"/>
        <w:gridCol w:w="4986"/>
      </w:tblGrid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Plano contratado</w:t>
            </w:r>
          </w:p>
        </w:tc>
        <w:tc>
          <w:tcPr>
            <w:tcW w:type="dxa" w:w="6803"/>
            <w:vAlign w:val="center"/>
          </w:tcPr>
          <w:p>
            <w:r>
              <w:t>Surveyor Básico Anual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Valor efetivamente pago</w:t>
            </w:r>
          </w:p>
        </w:tc>
        <w:tc>
          <w:tcPr>
            <w:tcW w:type="dxa" w:w="6803"/>
            <w:vAlign w:val="center"/>
          </w:tcPr>
          <w:p>
            <w:r>
              <w:t>R$ 297,00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Forma de pagamento</w:t>
            </w:r>
          </w:p>
        </w:tc>
        <w:tc>
          <w:tcPr>
            <w:tcW w:type="dxa" w:w="6803"/>
            <w:vAlign w:val="center"/>
          </w:tcPr>
          <w:p>
            <w:r>
              <w:t>[FORMA DE PAGAMENTO]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Data do pagamento</w:t>
            </w:r>
          </w:p>
        </w:tc>
        <w:tc>
          <w:tcPr>
            <w:tcW w:type="dxa" w:w="6803"/>
            <w:vAlign w:val="center"/>
          </w:tcPr>
          <w:p>
            <w:r>
              <w:t>[DD/MM/AAAA]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Início da vigência</w:t>
            </w:r>
          </w:p>
        </w:tc>
        <w:tc>
          <w:tcPr>
            <w:tcW w:type="dxa" w:w="6803"/>
            <w:vAlign w:val="center"/>
          </w:tcPr>
          <w:p>
            <w:r>
              <w:t>[DD/MM/AAAA]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Término da vigência</w:t>
            </w:r>
          </w:p>
        </w:tc>
        <w:tc>
          <w:tcPr>
            <w:tcW w:type="dxa" w:w="6803"/>
            <w:vAlign w:val="center"/>
          </w:tcPr>
          <w:p>
            <w:r>
              <w:t>[DD/MM/AAAA]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Prazo contratado</w:t>
            </w:r>
          </w:p>
        </w:tc>
        <w:tc>
          <w:tcPr>
            <w:tcW w:type="dxa" w:w="6803"/>
            <w:vAlign w:val="center"/>
          </w:tcPr>
          <w:p>
            <w:r>
              <w:t>365 dias</w:t>
            </w:r>
          </w:p>
        </w:tc>
      </w:tr>
    </w:tbl>
    <w:p>
      <w:pPr>
        <w:spacing w:after="40"/>
      </w:pPr>
    </w:p>
    <w:p>
      <w:pPr>
        <w:pStyle w:val="Heading1"/>
      </w:pPr>
      <w:r>
        <w:t>III — OBJETO E ESCOPO DA LICENÇA</w:t>
      </w:r>
    </w:p>
    <w:p>
      <w:pPr>
        <w:spacing w:after="100" w:line="259" w:lineRule="auto"/>
      </w:pPr>
      <w:r>
        <w:rPr>
          <w:rFonts w:ascii="Times New Roman" w:hAnsi="Times New Roman"/>
          <w:b w:val="0"/>
        </w:rPr>
        <w:t>O presente instrumento registra a adesão do contratante ao plano Surveyor Básico Anual, mediante licença temporária, pessoal, não exclusiva e intransferível de uso do software Surveyor, durante a vigência indicada. A contratação não transfere propriedade do software, código-fonte, marca, arquitetura, integrações ou demais direitos intelectuais.</w:t>
      </w:r>
    </w:p>
    <w:p>
      <w:pPr>
        <w:pStyle w:val="Heading1"/>
      </w:pPr>
      <w:r>
        <w:t>IV — RECURSOS INCLUÍDOS</w:t>
      </w:r>
    </w:p>
    <w:p>
      <w:pPr>
        <w:pStyle w:val="ListBullet"/>
        <w:spacing w:after="40"/>
      </w:pPr>
      <w:r>
        <w:t>Mapa e cadastro de imóveis e projetos</w:t>
      </w:r>
    </w:p>
    <w:p>
      <w:pPr>
        <w:pStyle w:val="ListBullet"/>
        <w:spacing w:after="40"/>
      </w:pPr>
      <w:r>
        <w:t>Desenho básico de pontos, linhas e polígonos</w:t>
      </w:r>
    </w:p>
    <w:p>
      <w:pPr>
        <w:pStyle w:val="ListBullet"/>
        <w:spacing w:after="40"/>
      </w:pPr>
      <w:r>
        <w:t>Medições e exportações básicas</w:t>
      </w:r>
    </w:p>
    <w:p>
      <w:pPr>
        <w:pStyle w:val="ListBullet"/>
        <w:spacing w:after="40"/>
      </w:pPr>
      <w:r>
        <w:t>Acervos e camadas oficiais básicas</w:t>
      </w:r>
    </w:p>
    <w:p>
      <w:pPr>
        <w:pStyle w:val="ListBullet"/>
        <w:spacing w:after="40"/>
      </w:pPr>
      <w:r>
        <w:t>Memorial Descritivo, ODS, Carta de Confrontação, Mapas/Croquis e Pranchas básicas</w:t>
      </w:r>
    </w:p>
    <w:p>
      <w:pPr>
        <w:pStyle w:val="ListBullet"/>
        <w:spacing w:after="40"/>
      </w:pPr>
      <w:r>
        <w:t>Minha Nuvem e suporte padrão</w:t>
      </w:r>
    </w:p>
    <w:p>
      <w:pPr>
        <w:pStyle w:val="ListBullet"/>
        <w:spacing w:after="40"/>
      </w:pPr>
      <w:r>
        <w:t>Geração de documentos sem limite comercial</w:t>
      </w:r>
    </w:p>
    <w:p>
      <w:pPr>
        <w:pStyle w:val="Heading1"/>
      </w:pPr>
      <w:r>
        <w:t>V — LIMITES COMERCIAIS DO PLANO</w:t>
      </w:r>
    </w:p>
    <w:p>
      <w:pPr>
        <w:pStyle w:val="ListBullet"/>
        <w:spacing w:after="40"/>
      </w:pPr>
      <w:r>
        <w:t>1 usuário</w:t>
      </w:r>
    </w:p>
    <w:p>
      <w:pPr>
        <w:pStyle w:val="ListBullet"/>
        <w:spacing w:after="40"/>
      </w:pPr>
      <w:r>
        <w:t>20 projetos ativos</w:t>
      </w:r>
    </w:p>
    <w:p>
      <w:pPr>
        <w:pStyle w:val="ListBullet"/>
        <w:spacing w:after="40"/>
      </w:pPr>
      <w:r>
        <w:t>2 GB de armazenamento lógico</w:t>
      </w:r>
    </w:p>
    <w:p>
      <w:pPr>
        <w:pStyle w:val="Heading1"/>
      </w:pPr>
      <w:r>
        <w:t>VI — PAGAMENTO, ATIVAÇÃO E VIGÊNCIA</w:t>
      </w:r>
    </w:p>
    <w:p>
      <w:pPr>
        <w:spacing w:after="100" w:line="259" w:lineRule="auto"/>
      </w:pPr>
      <w:r>
        <w:rPr>
          <w:rFonts w:ascii="Times New Roman" w:hAnsi="Times New Roman"/>
          <w:b w:val="0"/>
        </w:rPr>
        <w:t>O acesso será ativado após a confirmação do pagamento e permanecerá disponível durante o período informado. A renovação não é automática e deverá ser solicitada pelos canais oficiais.</w:t>
      </w:r>
    </w:p>
    <w:p>
      <w:pPr>
        <w:pStyle w:val="Heading1"/>
      </w:pPr>
      <w:r>
        <w:t>VII — VENCIMENTO E BLOQUEIO</w:t>
      </w:r>
    </w:p>
    <w:p>
      <w:pPr>
        <w:spacing w:after="100" w:line="259" w:lineRule="auto"/>
      </w:pPr>
      <w:r>
        <w:rPr>
          <w:rFonts w:ascii="Times New Roman" w:hAnsi="Times New Roman"/>
          <w:b w:val="0"/>
        </w:rPr>
        <w:t>Encerrada a vigência sem renovação, o acesso poderá ser bloqueado automaticamente até a confirmação de novo pagamento e reativação administrativa.</w:t>
      </w:r>
    </w:p>
    <w:p>
      <w:pPr>
        <w:pStyle w:val="Heading1"/>
      </w:pPr>
      <w:r>
        <w:t>VIII — RESPONSABILIDADE TÉCNICA DO CONTRATANTE</w:t>
      </w:r>
    </w:p>
    <w:p>
      <w:pPr>
        <w:spacing w:after="100" w:line="259" w:lineRule="auto"/>
      </w:pPr>
      <w:r>
        <w:rPr>
          <w:rFonts w:ascii="Times New Roman" w:hAnsi="Times New Roman"/>
          <w:b w:val="0"/>
        </w:rPr>
        <w:t>O Surveyor é ferramenta de apoio. O contratante deverá conferir coordenadas, geometrias, áreas, perímetros, memoriais, planilhas, relatórios e mapas antes do uso profissional ou protocolo perante terceiros.</w:t>
      </w:r>
    </w:p>
    <w:p>
      <w:pPr>
        <w:pStyle w:val="Heading1"/>
      </w:pPr>
      <w:r>
        <w:t>IX — CREDENCIAIS, DADOS E SEGURANÇA</w:t>
      </w:r>
    </w:p>
    <w:p>
      <w:pPr>
        <w:spacing w:after="100" w:line="259" w:lineRule="auto"/>
      </w:pPr>
      <w:r>
        <w:rPr>
          <w:rFonts w:ascii="Times New Roman" w:hAnsi="Times New Roman"/>
          <w:b w:val="0"/>
        </w:rPr>
        <w:t>O contratante é responsável pela proteção de suas credenciais, pela licitude dos dados inseridos e pelas ações executadas em sua conta.</w:t>
      </w:r>
    </w:p>
    <w:p>
      <w:pPr>
        <w:pStyle w:val="Heading1"/>
      </w:pPr>
      <w:r>
        <w:t>X — SERVIÇOS E FONTES EXTERNAS</w:t>
      </w:r>
    </w:p>
    <w:p>
      <w:pPr>
        <w:spacing w:after="100" w:line="259" w:lineRule="auto"/>
      </w:pPr>
      <w:r>
        <w:rPr>
          <w:rFonts w:ascii="Times New Roman" w:hAnsi="Times New Roman"/>
          <w:b w:val="0"/>
        </w:rPr>
        <w:t>Mapas, imagens, camadas oficiais, WMS/WFS, armazenamento, autenticação e e-mail podem depender de terceiros e sofrer indisponibilidades alheias ao controle do Surveyor.</w:t>
      </w:r>
    </w:p>
    <w:p>
      <w:pPr>
        <w:pStyle w:val="Heading1"/>
      </w:pPr>
      <w:r>
        <w:t>XI — SUPORTE</w:t>
      </w:r>
    </w:p>
    <w:p>
      <w:pPr>
        <w:spacing w:after="100" w:line="259" w:lineRule="auto"/>
      </w:pPr>
      <w:r>
        <w:rPr>
          <w:rFonts w:ascii="Times New Roman" w:hAnsi="Times New Roman"/>
          <w:b w:val="0"/>
        </w:rPr>
        <w:t>O suporte abrange orientação de uso, acesso e correção de falhas do sistema. Não inclui a execução do trabalho técnico do cliente ou desenvolvimento personalizado sem contratação específica.</w:t>
      </w:r>
    </w:p>
    <w:p>
      <w:pPr>
        <w:pStyle w:val="Heading1"/>
      </w:pPr>
      <w:r>
        <w:t>XII — CIÊNCIA DAS CONDIÇÕES</w:t>
      </w:r>
    </w:p>
    <w:p>
      <w:pPr>
        <w:spacing w:after="100" w:line="259" w:lineRule="auto"/>
      </w:pPr>
      <w:r>
        <w:rPr>
          <w:rFonts w:ascii="Times New Roman" w:hAnsi="Times New Roman"/>
          <w:b w:val="0"/>
        </w:rPr>
        <w:t>O pagamento confirmado, o recebimento deste documento e a utilização da conta registram a ciência do contratante quanto ao plano, valor, prazo, recursos, limites e condições aqui descritas.</w:t>
      </w:r>
    </w:p>
    <w:p>
      <w:pPr>
        <w:spacing w:after="160" w:line="259" w:lineRule="auto"/>
        <w:jc w:val="right"/>
      </w:pPr>
      <w:r>
        <w:rPr>
          <w:rFonts w:ascii="Times New Roman" w:hAnsi="Times New Roman"/>
          <w:b w:val="0"/>
          <w:sz w:val="20"/>
        </w:rPr>
        <w:t>[CIDADE/UF], [DATA DE EMISSÃO POR EXTENSO].</w:t>
      </w:r>
    </w:p>
    <w:p>
      <w:pPr>
        <w:spacing w:after="160"/>
      </w:pPr>
    </w:p>
    <w:p>
      <w:pPr>
        <w:pStyle w:val="Heading1"/>
        <w:jc w:val="center"/>
      </w:pPr>
      <w:r>
        <w:t>ASSINATURA ADMINISTRATIVA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6B7280"/>
          <w:left w:val="single" w:sz="6" w:color="6B7280"/>
          <w:bottom w:val="single" w:sz="6" w:color="6B7280"/>
          <w:right w:val="single" w:sz="6" w:color="6B7280"/>
          <w:insideH w:val="single" w:sz="6" w:color="6B7280"/>
          <w:insideV w:val="single" w:sz="6" w:color="6B7280"/>
        </w:tblBorders>
      </w:tblPr>
      <w:tblGrid>
        <w:gridCol w:w="7370"/>
      </w:tblGrid>
      <w:tr>
        <w:tc>
          <w:tcPr>
            <w:tcW w:type="dxa" w:w="9972"/>
            <w:shd w:fill="FFFFFF"/>
          </w:tcPr>
          <w:p>
            <w:pPr>
              <w:spacing w:before="560"/>
              <w:jc w:val="center"/>
            </w:pPr>
            <w:r>
              <w:rPr>
                <w:i/>
                <w:color w:val="6B7280"/>
                <w:sz w:val="18"/>
              </w:rPr>
              <w:t>[ASSINATURA POSICIONADA PELO ADMINISTRADOR]</w:t>
            </w:r>
          </w:p>
        </w:tc>
      </w:tr>
    </w:tbl>
    <w:p>
      <w:pPr>
        <w:spacing w:after="20" w:line="259" w:lineRule="auto"/>
        <w:jc w:val="center"/>
      </w:pPr>
      <w:r>
        <w:rPr>
          <w:rFonts w:ascii="Times New Roman" w:hAnsi="Times New Roman"/>
          <w:b/>
          <w:sz w:val="20"/>
        </w:rPr>
        <w:t>[NOME DO RESPONSÁVEL]</w:t>
      </w:r>
    </w:p>
    <w:p>
      <w:pPr>
        <w:spacing w:after="40" w:line="259" w:lineRule="auto"/>
        <w:jc w:val="center"/>
      </w:pPr>
      <w:r>
        <w:rPr>
          <w:rFonts w:ascii="Times New Roman" w:hAnsi="Times New Roman"/>
          <w:b w:val="0"/>
          <w:sz w:val="18"/>
        </w:rPr>
        <w:t>Responsável administrativo pelo Surveyor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Documento emitido pelo módulo administrativo do Surveyor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b/>
        <w:color w:val="475569"/>
        <w:sz w:val="16"/>
      </w:rPr>
      <w:t>SURVEYOR — DOCUMENTAÇÃO ADMINISTRATIVA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203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