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INSTRUMENTO PARTICULAR DE ADESÃO E CIÊNCIA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PLUS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pStyle w:val="Heading1"/>
      </w:pPr>
      <w:r>
        <w:t>I — IDENTIFICAÇÃO DO CONTRATANTE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Nome/Razão social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6803"/>
            <w:vAlign w:val="center"/>
          </w:tcPr>
          <w:p>
            <w:r>
              <w:t>[TELEFONE — OPCIONAL]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DA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Plus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efetivamente pago</w:t>
            </w:r>
          </w:p>
        </w:tc>
        <w:tc>
          <w:tcPr>
            <w:tcW w:type="dxa" w:w="6803"/>
            <w:vAlign w:val="center"/>
          </w:tcPr>
          <w:p>
            <w:r>
              <w:t>R$ 697,00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Término da vigência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Prazo contratado</w:t>
            </w:r>
          </w:p>
        </w:tc>
        <w:tc>
          <w:tcPr>
            <w:tcW w:type="dxa" w:w="6803"/>
            <w:vAlign w:val="center"/>
          </w:tcPr>
          <w:p>
            <w:r>
              <w:t>365 dias</w:t>
            </w:r>
          </w:p>
        </w:tc>
      </w:tr>
    </w:tbl>
    <w:p>
      <w:pPr>
        <w:spacing w:after="40"/>
      </w:pPr>
    </w:p>
    <w:p>
      <w:pPr>
        <w:pStyle w:val="Heading1"/>
      </w:pPr>
      <w:r>
        <w:t>III — OBJETO E ESCOPO DA LICENÇA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presente instrumento registra a adesão do contratante ao plano Surveyor Plus Anual, mediante licença temporária, pessoal, não exclusiva e intransferível de uso do software Surveyor, durante a vigência indicada. A contratação não transfere propriedade do software, código-fonte, marca, arquitetura, integrações ou demais direitos intelectuais.</w:t>
      </w:r>
    </w:p>
    <w:p>
      <w:pPr>
        <w:pStyle w:val="Heading1"/>
      </w:pPr>
      <w:r>
        <w:t>IV — RECURSOS INCLUÍDOS</w:t>
      </w:r>
    </w:p>
    <w:p>
      <w:pPr>
        <w:pStyle w:val="ListBullet"/>
        <w:spacing w:after="40"/>
      </w:pPr>
      <w:r>
        <w:t>Todos os recursos do Básico</w:t>
      </w:r>
    </w:p>
    <w:p>
      <w:pPr>
        <w:pStyle w:val="ListBullet"/>
        <w:spacing w:after="40"/>
      </w:pPr>
      <w:r>
        <w:t>Módulo CAR</w:t>
      </w:r>
    </w:p>
    <w:p>
      <w:pPr>
        <w:pStyle w:val="ListBullet"/>
        <w:spacing w:after="40"/>
      </w:pPr>
      <w:r>
        <w:t>Catálogo completo e serviços WMS/WFS</w:t>
      </w:r>
    </w:p>
    <w:p>
      <w:pPr>
        <w:pStyle w:val="ListBullet"/>
        <w:spacing w:after="40"/>
      </w:pPr>
      <w:r>
        <w:t>Edição de vértices, offset, rotação, escala e espelhamento</w:t>
      </w:r>
    </w:p>
    <w:p>
      <w:pPr>
        <w:pStyle w:val="ListBullet"/>
        <w:spacing w:after="40"/>
      </w:pPr>
      <w:r>
        <w:t>Operações SIG e terreno</w:t>
      </w:r>
    </w:p>
    <w:p>
      <w:pPr>
        <w:pStyle w:val="ListBullet"/>
        <w:spacing w:after="40"/>
      </w:pPr>
      <w:r>
        <w:t>Relatório Ambiental e Loteamentos/REURB em modalidade básica</w:t>
      </w:r>
    </w:p>
    <w:p>
      <w:pPr>
        <w:pStyle w:val="ListBullet"/>
        <w:spacing w:after="40"/>
      </w:pPr>
      <w:r>
        <w:t>Compartilhamento protegido e suporte prioritário leve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V — LIMITES COMERCIAIS DO PLANO</w:t>
      </w:r>
    </w:p>
    <w:p>
      <w:pPr>
        <w:pStyle w:val="ListBullet"/>
        <w:spacing w:after="40"/>
      </w:pPr>
      <w:r>
        <w:t>Até 3 usuários</w:t>
      </w:r>
    </w:p>
    <w:p>
      <w:pPr>
        <w:pStyle w:val="ListBullet"/>
        <w:spacing w:after="40"/>
      </w:pPr>
      <w:r>
        <w:t>100 projetos ativos</w:t>
      </w:r>
    </w:p>
    <w:p>
      <w:pPr>
        <w:pStyle w:val="ListBullet"/>
        <w:spacing w:after="40"/>
      </w:pPr>
      <w:r>
        <w:t>20 GB de armazenamento lógico</w:t>
      </w:r>
    </w:p>
    <w:p>
      <w:pPr>
        <w:pStyle w:val="Heading1"/>
      </w:pPr>
      <w:r>
        <w:t>VI — PAGAMENTO, ATIVAÇÃO E VIGÊNCIA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acesso será ativado após a confirmação do pagamento e permanecerá disponível durante o período informado. A renovação não é automática e deverá ser solicitada pelos canais oficiais.</w:t>
      </w:r>
    </w:p>
    <w:p>
      <w:pPr>
        <w:pStyle w:val="Heading1"/>
      </w:pPr>
      <w:r>
        <w:t>VII — VENCIMENTO E BLOQUEIO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Encerrada a vigência sem renovação, o acesso poderá ser bloqueado automaticamente até a confirmação de novo pagamento e reativação administrativa.</w:t>
      </w:r>
    </w:p>
    <w:p>
      <w:pPr>
        <w:pStyle w:val="Heading1"/>
      </w:pPr>
      <w:r>
        <w:t>VIII — RESPONSABILIDADE TÉCNICA DO CONTRATANTE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Surveyor é ferramenta de apoio. O contratante deverá conferir coordenadas, geometrias, áreas, perímetros, memoriais, planilhas, relatórios e mapas antes do uso profissional ou protocolo perante terceiros.</w:t>
      </w:r>
    </w:p>
    <w:p>
      <w:pPr>
        <w:pStyle w:val="Heading1"/>
      </w:pPr>
      <w:r>
        <w:t>IX — CREDENCIAIS, DADOS E SEGURANÇA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contratante é responsável pela proteção de suas credenciais, pela licitude dos dados inseridos e pelas ações executadas em sua conta.</w:t>
      </w:r>
    </w:p>
    <w:p>
      <w:pPr>
        <w:pStyle w:val="Heading1"/>
      </w:pPr>
      <w:r>
        <w:t>X — SERVIÇOS E FONTES EXTERNAS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Mapas, imagens, camadas oficiais, WMS/WFS, armazenamento, autenticação e e-mail podem depender de terceiros e sofrer indisponibilidades alheias ao controle do Surveyor.</w:t>
      </w:r>
    </w:p>
    <w:p>
      <w:pPr>
        <w:pStyle w:val="Heading1"/>
      </w:pPr>
      <w:r>
        <w:t>XI — SUPORTE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suporte abrange orientação de uso, acesso e correção de falhas do sistema. Não inclui a execução do trabalho técnico do cliente ou desenvolvimento personalizado sem contratação específica.</w:t>
      </w:r>
    </w:p>
    <w:p>
      <w:pPr>
        <w:pStyle w:val="Heading1"/>
      </w:pPr>
      <w:r>
        <w:t>XII — CIÊNCIA DAS CONDIÇÕES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pagamento confirmado, o recebimento deste documento e a utilização da conta registram a ciência do contratante quanto ao plano, valor, prazo, recursos, limites e condições aqui descritas.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