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INSTRUMENTO PARTICULAR DE ADESÃO E CIÊNCIA</w:t>
      </w:r>
    </w:p>
    <w:p>
      <w:pPr>
        <w:spacing w:after="200" w:line="259" w:lineRule="auto"/>
        <w:jc w:val="center"/>
      </w:pPr>
      <w:r>
        <w:rPr>
          <w:rFonts w:ascii="Times New Roman" w:hAnsi="Times New Roman"/>
          <w:b/>
          <w:color w:val="334155"/>
          <w:sz w:val="22"/>
        </w:rPr>
        <w:t>SURVEYOR PRO ANUAL</w:t>
      </w:r>
    </w:p>
    <w:p>
      <w:pPr>
        <w:spacing w:after="200" w:line="259" w:lineRule="auto"/>
        <w:jc w:val="right"/>
      </w:pPr>
      <w:r>
        <w:rPr>
          <w:rFonts w:ascii="Times New Roman" w:hAnsi="Times New Roman"/>
          <w:b/>
          <w:color w:val="475569"/>
          <w:sz w:val="16"/>
        </w:rPr>
        <w:t>Documento nº [PREENCHIDO AUTOMATICAMENTE PELO SISTEMA]</w:t>
      </w:r>
    </w:p>
    <w:p>
      <w:pPr>
        <w:pStyle w:val="Heading1"/>
      </w:pPr>
      <w:r>
        <w:t>I — IDENTIFICAÇÃO DO CONTRATANTE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6" w:color="9CA3AF"/>
          <w:insideV w:val="single" w:sz="6" w:color="9CA3AF"/>
        </w:tblBorders>
      </w:tblPr>
      <w:tblGrid>
        <w:gridCol w:w="4986"/>
        <w:gridCol w:w="4986"/>
      </w:tblGrid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Nome/Razão social</w:t>
            </w:r>
          </w:p>
        </w:tc>
        <w:tc>
          <w:tcPr>
            <w:tcW w:type="dxa" w:w="6803"/>
            <w:vAlign w:val="center"/>
          </w:tcPr>
          <w:p>
            <w:r>
              <w:t>[NOME DO CLIENTE]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CPF/CNPJ</w:t>
            </w:r>
          </w:p>
        </w:tc>
        <w:tc>
          <w:tcPr>
            <w:tcW w:type="dxa" w:w="6803"/>
            <w:vAlign w:val="center"/>
          </w:tcPr>
          <w:p>
            <w:r>
              <w:t>[CPF/CNPJ]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6803"/>
            <w:vAlign w:val="center"/>
          </w:tcPr>
          <w:p>
            <w:r>
              <w:t>[E-MAIL]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Telefone</w:t>
            </w:r>
          </w:p>
        </w:tc>
        <w:tc>
          <w:tcPr>
            <w:tcW w:type="dxa" w:w="6803"/>
            <w:vAlign w:val="center"/>
          </w:tcPr>
          <w:p>
            <w:r>
              <w:t>[TELEFONE — OPCIONAL]</w:t>
            </w:r>
          </w:p>
        </w:tc>
      </w:tr>
    </w:tbl>
    <w:p>
      <w:pPr>
        <w:spacing w:after="40"/>
      </w:pPr>
    </w:p>
    <w:p>
      <w:pPr>
        <w:pStyle w:val="Heading1"/>
      </w:pPr>
      <w:r>
        <w:t>II — DADOS DA CONTRATAÇÃO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6" w:color="9CA3AF"/>
          <w:insideV w:val="single" w:sz="6" w:color="9CA3AF"/>
        </w:tblBorders>
      </w:tblPr>
      <w:tblGrid>
        <w:gridCol w:w="4986"/>
        <w:gridCol w:w="4986"/>
      </w:tblGrid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Plano contratado</w:t>
            </w:r>
          </w:p>
        </w:tc>
        <w:tc>
          <w:tcPr>
            <w:tcW w:type="dxa" w:w="6803"/>
            <w:vAlign w:val="center"/>
          </w:tcPr>
          <w:p>
            <w:r>
              <w:t>Surveyor Pro Anual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Valor efetivamente pago</w:t>
            </w:r>
          </w:p>
        </w:tc>
        <w:tc>
          <w:tcPr>
            <w:tcW w:type="dxa" w:w="6803"/>
            <w:vAlign w:val="center"/>
          </w:tcPr>
          <w:p>
            <w:r>
              <w:t>R$ 1.497,00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  <w:vAlign w:val="center"/>
          </w:tcPr>
          <w:p>
            <w:r>
              <w:t>[FORMA DE PAGAMENTO]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Data do pagamento</w:t>
            </w:r>
          </w:p>
        </w:tc>
        <w:tc>
          <w:tcPr>
            <w:tcW w:type="dxa" w:w="6803"/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Início da vigência</w:t>
            </w:r>
          </w:p>
        </w:tc>
        <w:tc>
          <w:tcPr>
            <w:tcW w:type="dxa" w:w="6803"/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Término da vigência</w:t>
            </w:r>
          </w:p>
        </w:tc>
        <w:tc>
          <w:tcPr>
            <w:tcW w:type="dxa" w:w="6803"/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Prazo contratado</w:t>
            </w:r>
          </w:p>
        </w:tc>
        <w:tc>
          <w:tcPr>
            <w:tcW w:type="dxa" w:w="6803"/>
            <w:vAlign w:val="center"/>
          </w:tcPr>
          <w:p>
            <w:r>
              <w:t>365 dias</w:t>
            </w:r>
          </w:p>
        </w:tc>
      </w:tr>
    </w:tbl>
    <w:p>
      <w:pPr>
        <w:spacing w:after="40"/>
      </w:pPr>
    </w:p>
    <w:p>
      <w:pPr>
        <w:pStyle w:val="Heading1"/>
      </w:pPr>
      <w:r>
        <w:t>III — OBJETO E ESCOPO DA LICENÇA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presente instrumento registra a adesão do contratante ao plano Surveyor Pro Anual, mediante licença temporária, pessoal, não exclusiva e intransferível de uso do software Surveyor, durante a vigência indicada. A contratação não transfere propriedade do software, código-fonte, marca, arquitetura, integrações ou demais direitos intelectuais.</w:t>
      </w:r>
    </w:p>
    <w:p>
      <w:pPr>
        <w:pStyle w:val="Heading1"/>
      </w:pPr>
      <w:r>
        <w:t>IV — RECURSOS INCLUÍDOS</w:t>
      </w:r>
    </w:p>
    <w:p>
      <w:pPr>
        <w:pStyle w:val="ListBullet"/>
        <w:spacing w:after="40"/>
      </w:pPr>
      <w:r>
        <w:t>Todos os recursos do Plus</w:t>
      </w:r>
    </w:p>
    <w:p>
      <w:pPr>
        <w:pStyle w:val="ListBullet"/>
        <w:spacing w:after="40"/>
      </w:pPr>
      <w:r>
        <w:t>Projetos, usuários e armazenamento sem quota comercial fixa</w:t>
      </w:r>
    </w:p>
    <w:p>
      <w:pPr>
        <w:pStyle w:val="ListBullet"/>
        <w:spacing w:after="40"/>
      </w:pPr>
      <w:r>
        <w:t>Histórico completo, modelos, lixeira, travamento e exportação ZIP</w:t>
      </w:r>
    </w:p>
    <w:p>
      <w:pPr>
        <w:pStyle w:val="ListBullet"/>
        <w:spacing w:after="40"/>
      </w:pPr>
      <w:r>
        <w:t>Geometria, SIG, terreno, Planialtimetria/MDT, Ambiental e REURB completos</w:t>
      </w:r>
    </w:p>
    <w:p>
      <w:pPr>
        <w:pStyle w:val="ListBullet"/>
        <w:spacing w:after="40"/>
      </w:pPr>
      <w:r>
        <w:t>Compartilhamento completo e revogável</w:t>
      </w:r>
    </w:p>
    <w:p>
      <w:pPr>
        <w:pStyle w:val="ListBullet"/>
        <w:spacing w:after="40"/>
      </w:pPr>
      <w:r>
        <w:t>Recursos administrativos quando provisionados</w:t>
      </w:r>
    </w:p>
    <w:p>
      <w:pPr>
        <w:pStyle w:val="ListBullet"/>
        <w:spacing w:after="40"/>
      </w:pPr>
      <w:r>
        <w:t>Suporte prioritário</w:t>
      </w:r>
    </w:p>
    <w:p>
      <w:pPr>
        <w:pStyle w:val="ListBullet"/>
        <w:spacing w:after="40"/>
      </w:pPr>
      <w:r>
        <w:t>Geração de documentos sem limite comercial</w:t>
      </w:r>
    </w:p>
    <w:p>
      <w:pPr>
        <w:pStyle w:val="Heading1"/>
      </w:pPr>
      <w:r>
        <w:t>V — LIMITES COMERCIAIS DO PLANO</w:t>
      </w:r>
    </w:p>
    <w:p>
      <w:pPr>
        <w:pStyle w:val="ListBullet"/>
        <w:spacing w:after="40"/>
      </w:pPr>
      <w:r>
        <w:t>Usuários ilimitados</w:t>
      </w:r>
    </w:p>
    <w:p>
      <w:pPr>
        <w:pStyle w:val="ListBullet"/>
        <w:spacing w:after="40"/>
      </w:pPr>
      <w:r>
        <w:t>Projetos ilimitados</w:t>
      </w:r>
    </w:p>
    <w:p>
      <w:pPr>
        <w:pStyle w:val="ListBullet"/>
        <w:spacing w:after="40"/>
      </w:pPr>
      <w:r>
        <w:t>Armazenamento ilimitado</w:t>
      </w:r>
    </w:p>
    <w:p>
      <w:pPr>
        <w:pStyle w:val="Heading1"/>
      </w:pPr>
      <w:r>
        <w:t>VI — PAGAMENTO, ATIVAÇÃO E VIGÊNCIA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acesso será ativado após a confirmação do pagamento e permanecerá disponível durante o período informado. A renovação não é automática e deverá ser solicitada pelos canais oficiais.</w:t>
      </w:r>
    </w:p>
    <w:p>
      <w:pPr>
        <w:pStyle w:val="Heading1"/>
      </w:pPr>
      <w:r>
        <w:t>VII — VENCIMENTO E BLOQUEIO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Encerrada a vigência sem renovação, o acesso poderá ser bloqueado automaticamente até a confirmação de novo pagamento e reativação administrativa.</w:t>
      </w:r>
    </w:p>
    <w:p>
      <w:pPr>
        <w:pStyle w:val="Heading1"/>
      </w:pPr>
      <w:r>
        <w:t>VIII — RESPONSABILIDADE TÉCNICA DO CONTRATANTE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Surveyor é ferramenta de apoio. O contratante deverá conferir coordenadas, geometrias, áreas, perímetros, memoriais, planilhas, relatórios e mapas antes do uso profissional ou protocolo perante terceiros.</w:t>
      </w:r>
    </w:p>
    <w:p>
      <w:pPr>
        <w:pStyle w:val="Heading1"/>
      </w:pPr>
      <w:r>
        <w:t>IX — CREDENCIAIS, DADOS E SEGURANÇA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contratante é responsável pela proteção de suas credenciais, pela licitude dos dados inseridos e pelas ações executadas em sua conta.</w:t>
      </w:r>
    </w:p>
    <w:p>
      <w:pPr>
        <w:pStyle w:val="Heading1"/>
      </w:pPr>
      <w:r>
        <w:t>X — SERVIÇOS E FONTES EXTERNAS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Mapas, imagens, camadas oficiais, WMS/WFS, armazenamento, autenticação e e-mail podem depender de terceiros e sofrer indisponibilidades alheias ao controle do Surveyor.</w:t>
      </w:r>
    </w:p>
    <w:p>
      <w:pPr>
        <w:pStyle w:val="Heading1"/>
      </w:pPr>
      <w:r>
        <w:t>XI — SUPORTE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suporte abrange orientação de uso, acesso e correção de falhas do sistema. Não inclui a execução do trabalho técnico do cliente ou desenvolvimento personalizado sem contratação específica.</w:t>
      </w:r>
    </w:p>
    <w:p>
      <w:pPr>
        <w:pStyle w:val="Heading1"/>
      </w:pPr>
      <w:r>
        <w:t>XII — CIÊNCIA DAS CONDIÇÕES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pagamento confirmado, o recebimento deste documento e a utilização da conta registram a ciência do contratante quanto ao plano, valor, prazo, recursos, limites e condições aqui descritas.</w:t>
      </w:r>
    </w:p>
    <w:p>
      <w:pPr>
        <w:spacing w:after="160" w:line="259" w:lineRule="auto"/>
        <w:jc w:val="right"/>
      </w:pPr>
      <w:r>
        <w:rPr>
          <w:rFonts w:ascii="Times New Roman" w:hAnsi="Times New Roman"/>
          <w:b w:val="0"/>
          <w:sz w:val="20"/>
        </w:rPr>
        <w:t>[CIDADE/UF], [DATA DE EMISSÃO POR EXTENSO].</w:t>
      </w:r>
    </w:p>
    <w:p>
      <w:pPr>
        <w:spacing w:after="160"/>
      </w:pPr>
    </w:p>
    <w:p>
      <w:pPr>
        <w:pStyle w:val="Heading1"/>
        <w:jc w:val="center"/>
      </w:pPr>
      <w:r>
        <w:t>ASSINATURA ADMINISTRATIVA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B7280"/>
          <w:left w:val="single" w:sz="6" w:color="6B7280"/>
          <w:bottom w:val="single" w:sz="6" w:color="6B7280"/>
          <w:right w:val="single" w:sz="6" w:color="6B7280"/>
          <w:insideH w:val="single" w:sz="6" w:color="6B7280"/>
          <w:insideV w:val="single" w:sz="6" w:color="6B7280"/>
        </w:tblBorders>
      </w:tblPr>
      <w:tblGrid>
        <w:gridCol w:w="7370"/>
      </w:tblGrid>
      <w:tr>
        <w:tc>
          <w:tcPr>
            <w:tcW w:type="dxa" w:w="9972"/>
            <w:shd w:fill="FFFFFF"/>
          </w:tcPr>
          <w:p>
            <w:pPr>
              <w:spacing w:before="560"/>
              <w:jc w:val="center"/>
            </w:pPr>
            <w:r>
              <w:rPr>
                <w:i/>
                <w:color w:val="6B7280"/>
                <w:sz w:val="18"/>
              </w:rPr>
              <w:t>[ASSINATURA POSICIONADA PELO ADMINISTRADOR]</w:t>
            </w:r>
          </w:p>
        </w:tc>
      </w:tr>
    </w:tbl>
    <w:p>
      <w:pPr>
        <w:spacing w:after="20" w:line="259" w:lineRule="auto"/>
        <w:jc w:val="center"/>
      </w:pPr>
      <w:r>
        <w:rPr>
          <w:rFonts w:ascii="Times New Roman" w:hAnsi="Times New Roman"/>
          <w:b/>
          <w:sz w:val="20"/>
        </w:rPr>
        <w:t>[NOME DO RESPONSÁVEL]</w:t>
      </w:r>
    </w:p>
    <w:p>
      <w:pPr>
        <w:spacing w:after="40" w:line="259" w:lineRule="auto"/>
        <w:jc w:val="center"/>
      </w:pPr>
      <w:r>
        <w:rPr>
          <w:rFonts w:ascii="Times New Roman" w:hAnsi="Times New Roman"/>
          <w:b w:val="0"/>
          <w:sz w:val="18"/>
        </w:rPr>
        <w:t>Responsável administrativo pelo Surveyor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emitido pelo módulo administrativo do Surveyor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color w:val="475569"/>
        <w:sz w:val="16"/>
      </w:rPr>
      <w:t>SURVEYOR — DOCUMENTAÇÃO ADMINISTRATIVA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203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