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B60C7" w14:textId="77777777" w:rsidR="00AC0E14" w:rsidRDefault="00000000">
      <w:pPr>
        <w:pStyle w:val="Title"/>
      </w:pPr>
      <w:r>
        <w:t>Supplementary Materials</w:t>
      </w:r>
    </w:p>
    <w:p w14:paraId="712C81F0" w14:textId="77777777" w:rsidR="00AC0E14" w:rsidRDefault="00000000">
      <w:pPr>
        <w:pStyle w:val="Subtitle"/>
      </w:pPr>
      <w:r>
        <w:t>Effective sample size for predictions based on the Cox survival model: insights into individual uncertainty</w:t>
      </w:r>
    </w:p>
    <w:p w14:paraId="5381D79C" w14:textId="77777777" w:rsidR="00AC0E14" w:rsidRDefault="00000000">
      <w:pPr>
        <w:pStyle w:val="Date"/>
      </w:pPr>
      <w:r>
        <w:t>2026-10-28</w:t>
      </w:r>
    </w:p>
    <w:sdt>
      <w:sdtPr>
        <w:rPr>
          <w:rFonts w:asciiTheme="minorHAnsi" w:eastAsiaTheme="minorHAnsi" w:hAnsiTheme="minorHAnsi" w:cstheme="minorBidi"/>
          <w:color w:val="auto"/>
          <w:sz w:val="24"/>
          <w:szCs w:val="24"/>
        </w:rPr>
        <w:id w:val="1998690475"/>
        <w:docPartObj>
          <w:docPartGallery w:val="Table of Contents"/>
          <w:docPartUnique/>
        </w:docPartObj>
      </w:sdtPr>
      <w:sdtContent>
        <w:p w14:paraId="37396C97" w14:textId="77777777" w:rsidR="00AC0E14" w:rsidRDefault="00000000">
          <w:pPr>
            <w:pStyle w:val="TOCHeading"/>
          </w:pPr>
          <w:r>
            <w:t>Contents</w:t>
          </w:r>
        </w:p>
        <w:p w14:paraId="424C89DA" w14:textId="37E212ED" w:rsidR="003B7A36" w:rsidRDefault="00000000">
          <w:pPr>
            <w:pStyle w:val="TOC1"/>
            <w:tabs>
              <w:tab w:val="right" w:leader="dot" w:pos="9350"/>
            </w:tabs>
            <w:rPr>
              <w:noProof/>
            </w:rPr>
          </w:pPr>
          <w:r>
            <w:fldChar w:fldCharType="begin"/>
          </w:r>
          <w:r>
            <w:instrText>TOC \o "1-1" \h \z \u</w:instrText>
          </w:r>
          <w:r>
            <w:fldChar w:fldCharType="separate"/>
          </w:r>
          <w:hyperlink w:anchor="_Toc244093837" w:history="1">
            <w:r w:rsidR="003B7A36" w:rsidRPr="005411F5">
              <w:rPr>
                <w:rStyle w:val="Hyperlink"/>
                <w:noProof/>
              </w:rPr>
              <w:t>Supplement 1: 4D PICTURE Collaborators</w:t>
            </w:r>
            <w:r w:rsidR="003B7A36">
              <w:rPr>
                <w:noProof/>
                <w:webHidden/>
              </w:rPr>
              <w:tab/>
            </w:r>
            <w:r w:rsidR="003B7A36">
              <w:rPr>
                <w:noProof/>
                <w:webHidden/>
              </w:rPr>
              <w:fldChar w:fldCharType="begin"/>
            </w:r>
            <w:r w:rsidR="003B7A36">
              <w:rPr>
                <w:noProof/>
                <w:webHidden/>
              </w:rPr>
              <w:instrText xml:space="preserve"> PAGEREF _Toc244093837 \h </w:instrText>
            </w:r>
            <w:r w:rsidR="003B7A36">
              <w:rPr>
                <w:noProof/>
                <w:webHidden/>
              </w:rPr>
            </w:r>
            <w:r w:rsidR="003B7A36">
              <w:rPr>
                <w:noProof/>
                <w:webHidden/>
              </w:rPr>
              <w:fldChar w:fldCharType="separate"/>
            </w:r>
            <w:r w:rsidR="003B7A36">
              <w:rPr>
                <w:noProof/>
                <w:webHidden/>
              </w:rPr>
              <w:t>2</w:t>
            </w:r>
            <w:r w:rsidR="003B7A36">
              <w:rPr>
                <w:noProof/>
                <w:webHidden/>
              </w:rPr>
              <w:fldChar w:fldCharType="end"/>
            </w:r>
          </w:hyperlink>
        </w:p>
        <w:p w14:paraId="0D514F95" w14:textId="5DE504AC" w:rsidR="003B7A36" w:rsidRDefault="003B7A36">
          <w:pPr>
            <w:pStyle w:val="TOC1"/>
            <w:tabs>
              <w:tab w:val="right" w:leader="dot" w:pos="9350"/>
            </w:tabs>
            <w:rPr>
              <w:noProof/>
            </w:rPr>
          </w:pPr>
          <w:hyperlink w:anchor="_Toc244093838" w:history="1">
            <w:r w:rsidRPr="005411F5">
              <w:rPr>
                <w:rStyle w:val="Hyperlink"/>
                <w:noProof/>
              </w:rPr>
              <w:t>Supplement 2: Variance of the Cox model prediction</w:t>
            </w:r>
            <w:r>
              <w:rPr>
                <w:noProof/>
                <w:webHidden/>
              </w:rPr>
              <w:tab/>
            </w:r>
            <w:r>
              <w:rPr>
                <w:noProof/>
                <w:webHidden/>
              </w:rPr>
              <w:fldChar w:fldCharType="begin"/>
            </w:r>
            <w:r>
              <w:rPr>
                <w:noProof/>
                <w:webHidden/>
              </w:rPr>
              <w:instrText xml:space="preserve"> PAGEREF _Toc244093838 \h </w:instrText>
            </w:r>
            <w:r>
              <w:rPr>
                <w:noProof/>
                <w:webHidden/>
              </w:rPr>
            </w:r>
            <w:r>
              <w:rPr>
                <w:noProof/>
                <w:webHidden/>
              </w:rPr>
              <w:fldChar w:fldCharType="separate"/>
            </w:r>
            <w:r>
              <w:rPr>
                <w:noProof/>
                <w:webHidden/>
              </w:rPr>
              <w:t>4</w:t>
            </w:r>
            <w:r>
              <w:rPr>
                <w:noProof/>
                <w:webHidden/>
              </w:rPr>
              <w:fldChar w:fldCharType="end"/>
            </w:r>
          </w:hyperlink>
        </w:p>
        <w:p w14:paraId="0366C360" w14:textId="7C6088ED" w:rsidR="003B7A36" w:rsidRDefault="003B7A36">
          <w:pPr>
            <w:pStyle w:val="TOC1"/>
            <w:tabs>
              <w:tab w:val="right" w:leader="dot" w:pos="9350"/>
            </w:tabs>
            <w:rPr>
              <w:noProof/>
            </w:rPr>
          </w:pPr>
          <w:hyperlink w:anchor="_Toc244093839" w:history="1">
            <w:r w:rsidRPr="005411F5">
              <w:rPr>
                <w:rStyle w:val="Hyperlink"/>
                <w:noProof/>
              </w:rPr>
              <w:t>Supplement 3: Efficiency of the Breslow estimator compared to the Nelson-Aalen estimator</w:t>
            </w:r>
            <w:r>
              <w:rPr>
                <w:noProof/>
                <w:webHidden/>
              </w:rPr>
              <w:tab/>
            </w:r>
            <w:r>
              <w:rPr>
                <w:noProof/>
                <w:webHidden/>
              </w:rPr>
              <w:fldChar w:fldCharType="begin"/>
            </w:r>
            <w:r>
              <w:rPr>
                <w:noProof/>
                <w:webHidden/>
              </w:rPr>
              <w:instrText xml:space="preserve"> PAGEREF _Toc244093839 \h </w:instrText>
            </w:r>
            <w:r>
              <w:rPr>
                <w:noProof/>
                <w:webHidden/>
              </w:rPr>
            </w:r>
            <w:r>
              <w:rPr>
                <w:noProof/>
                <w:webHidden/>
              </w:rPr>
              <w:fldChar w:fldCharType="separate"/>
            </w:r>
            <w:r>
              <w:rPr>
                <w:noProof/>
                <w:webHidden/>
              </w:rPr>
              <w:t>6</w:t>
            </w:r>
            <w:r>
              <w:rPr>
                <w:noProof/>
                <w:webHidden/>
              </w:rPr>
              <w:fldChar w:fldCharType="end"/>
            </w:r>
          </w:hyperlink>
        </w:p>
        <w:p w14:paraId="1861EEDA" w14:textId="1104F46F" w:rsidR="003B7A36" w:rsidRDefault="003B7A36">
          <w:pPr>
            <w:pStyle w:val="TOC1"/>
            <w:tabs>
              <w:tab w:val="right" w:leader="dot" w:pos="9350"/>
            </w:tabs>
            <w:rPr>
              <w:noProof/>
            </w:rPr>
          </w:pPr>
          <w:hyperlink w:anchor="_Toc244093840" w:history="1">
            <w:r w:rsidRPr="005411F5">
              <w:rPr>
                <w:rStyle w:val="Hyperlink"/>
                <w:noProof/>
              </w:rPr>
              <w:t>Supplement 4: Distribution of predictors in case study</w:t>
            </w:r>
            <w:r>
              <w:rPr>
                <w:noProof/>
                <w:webHidden/>
              </w:rPr>
              <w:tab/>
            </w:r>
            <w:r>
              <w:rPr>
                <w:noProof/>
                <w:webHidden/>
              </w:rPr>
              <w:fldChar w:fldCharType="begin"/>
            </w:r>
            <w:r>
              <w:rPr>
                <w:noProof/>
                <w:webHidden/>
              </w:rPr>
              <w:instrText xml:space="preserve"> PAGEREF _Toc244093840 \h </w:instrText>
            </w:r>
            <w:r>
              <w:rPr>
                <w:noProof/>
                <w:webHidden/>
              </w:rPr>
            </w:r>
            <w:r>
              <w:rPr>
                <w:noProof/>
                <w:webHidden/>
              </w:rPr>
              <w:fldChar w:fldCharType="separate"/>
            </w:r>
            <w:r>
              <w:rPr>
                <w:noProof/>
                <w:webHidden/>
              </w:rPr>
              <w:t>8</w:t>
            </w:r>
            <w:r>
              <w:rPr>
                <w:noProof/>
                <w:webHidden/>
              </w:rPr>
              <w:fldChar w:fldCharType="end"/>
            </w:r>
          </w:hyperlink>
        </w:p>
        <w:p w14:paraId="0014E4C9" w14:textId="6092DDFB" w:rsidR="003B7A36" w:rsidRDefault="003B7A36">
          <w:pPr>
            <w:pStyle w:val="TOC1"/>
            <w:tabs>
              <w:tab w:val="right" w:leader="dot" w:pos="9350"/>
            </w:tabs>
            <w:rPr>
              <w:noProof/>
            </w:rPr>
          </w:pPr>
          <w:hyperlink w:anchor="_Toc244093841" w:history="1">
            <w:r w:rsidRPr="005411F5">
              <w:rPr>
                <w:rStyle w:val="Hyperlink"/>
                <w:noProof/>
              </w:rPr>
              <w:t>Supplement 5: The Cox model has a narrower 95% confidence interval than Kaplan-Meier</w:t>
            </w:r>
            <w:r>
              <w:rPr>
                <w:noProof/>
                <w:webHidden/>
              </w:rPr>
              <w:tab/>
            </w:r>
            <w:r>
              <w:rPr>
                <w:noProof/>
                <w:webHidden/>
              </w:rPr>
              <w:fldChar w:fldCharType="begin"/>
            </w:r>
            <w:r>
              <w:rPr>
                <w:noProof/>
                <w:webHidden/>
              </w:rPr>
              <w:instrText xml:space="preserve"> PAGEREF _Toc244093841 \h </w:instrText>
            </w:r>
            <w:r>
              <w:rPr>
                <w:noProof/>
                <w:webHidden/>
              </w:rPr>
            </w:r>
            <w:r>
              <w:rPr>
                <w:noProof/>
                <w:webHidden/>
              </w:rPr>
              <w:fldChar w:fldCharType="separate"/>
            </w:r>
            <w:r>
              <w:rPr>
                <w:noProof/>
                <w:webHidden/>
              </w:rPr>
              <w:t>9</w:t>
            </w:r>
            <w:r>
              <w:rPr>
                <w:noProof/>
                <w:webHidden/>
              </w:rPr>
              <w:fldChar w:fldCharType="end"/>
            </w:r>
          </w:hyperlink>
        </w:p>
        <w:p w14:paraId="3C99A05A" w14:textId="1DA5166E" w:rsidR="003B7A36" w:rsidRDefault="003B7A36">
          <w:pPr>
            <w:pStyle w:val="TOC1"/>
            <w:tabs>
              <w:tab w:val="right" w:leader="dot" w:pos="9350"/>
            </w:tabs>
            <w:rPr>
              <w:noProof/>
            </w:rPr>
          </w:pPr>
          <w:hyperlink w:anchor="_Toc244093842" w:history="1">
            <w:r w:rsidRPr="005411F5">
              <w:rPr>
                <w:rStyle w:val="Hyperlink"/>
                <w:noProof/>
              </w:rPr>
              <w:t>Supplement 6: Effective sample size in real-world datasets</w:t>
            </w:r>
            <w:r>
              <w:rPr>
                <w:noProof/>
                <w:webHidden/>
              </w:rPr>
              <w:tab/>
            </w:r>
            <w:r>
              <w:rPr>
                <w:noProof/>
                <w:webHidden/>
              </w:rPr>
              <w:fldChar w:fldCharType="begin"/>
            </w:r>
            <w:r>
              <w:rPr>
                <w:noProof/>
                <w:webHidden/>
              </w:rPr>
              <w:instrText xml:space="preserve"> PAGEREF _Toc244093842 \h </w:instrText>
            </w:r>
            <w:r>
              <w:rPr>
                <w:noProof/>
                <w:webHidden/>
              </w:rPr>
            </w:r>
            <w:r>
              <w:rPr>
                <w:noProof/>
                <w:webHidden/>
              </w:rPr>
              <w:fldChar w:fldCharType="separate"/>
            </w:r>
            <w:r>
              <w:rPr>
                <w:noProof/>
                <w:webHidden/>
              </w:rPr>
              <w:t>10</w:t>
            </w:r>
            <w:r>
              <w:rPr>
                <w:noProof/>
                <w:webHidden/>
              </w:rPr>
              <w:fldChar w:fldCharType="end"/>
            </w:r>
          </w:hyperlink>
        </w:p>
        <w:p w14:paraId="6CA9726A" w14:textId="6033FDD1" w:rsidR="003B7A36" w:rsidRDefault="003B7A36">
          <w:pPr>
            <w:pStyle w:val="TOC1"/>
            <w:tabs>
              <w:tab w:val="right" w:leader="dot" w:pos="9350"/>
            </w:tabs>
            <w:rPr>
              <w:noProof/>
            </w:rPr>
          </w:pPr>
          <w:hyperlink w:anchor="_Toc244093843" w:history="1">
            <w:r w:rsidRPr="005411F5">
              <w:rPr>
                <w:rStyle w:val="Hyperlink"/>
                <w:noProof/>
              </w:rPr>
              <w:t xml:space="preserve">Supplement 7: Simulation to understand the behavior of </w:t>
            </w:r>
            <m:oMath>
              <m:r>
                <w:rPr>
                  <w:rStyle w:val="Hyperlink"/>
                  <w:rFonts w:ascii="Cambria Math" w:hAnsi="Cambria Math"/>
                  <w:noProof/>
                </w:rPr>
                <m:t>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_Toc244093843 \h </w:instrText>
            </w:r>
            <w:r>
              <w:rPr>
                <w:noProof/>
                <w:webHidden/>
              </w:rPr>
            </w:r>
            <w:r>
              <w:rPr>
                <w:noProof/>
                <w:webHidden/>
              </w:rPr>
              <w:fldChar w:fldCharType="separate"/>
            </w:r>
            <w:r>
              <w:rPr>
                <w:noProof/>
                <w:webHidden/>
              </w:rPr>
              <w:t>13</w:t>
            </w:r>
            <w:r>
              <w:rPr>
                <w:noProof/>
                <w:webHidden/>
              </w:rPr>
              <w:fldChar w:fldCharType="end"/>
            </w:r>
          </w:hyperlink>
        </w:p>
        <w:p w14:paraId="3B972C31" w14:textId="392952BC" w:rsidR="003B7A36" w:rsidRDefault="003B7A36">
          <w:pPr>
            <w:pStyle w:val="TOC1"/>
            <w:tabs>
              <w:tab w:val="right" w:leader="dot" w:pos="9350"/>
            </w:tabs>
            <w:rPr>
              <w:noProof/>
            </w:rPr>
          </w:pPr>
          <w:hyperlink w:anchor="_Toc244093844" w:history="1">
            <w:r w:rsidRPr="005411F5">
              <w:rPr>
                <w:rStyle w:val="Hyperlink"/>
                <w:noProof/>
              </w:rPr>
              <w:t xml:space="preserve">Supplement 8: Heuristic exploration of </w:t>
            </w:r>
            <m:oMath>
              <m:r>
                <w:rPr>
                  <w:rStyle w:val="Hyperlink"/>
                  <w:rFonts w:ascii="Cambria Math" w:hAnsi="Cambria Math"/>
                  <w:noProof/>
                </w:rPr>
                <m:t>N</m:t>
              </m:r>
              <m:r>
                <m:rPr>
                  <m:sty m:val="p"/>
                </m:rPr>
                <w:rPr>
                  <w:rStyle w:val="Hyperlink"/>
                  <w:rFonts w:ascii="Cambria Math" w:hAnsi="Cambria Math"/>
                  <w:noProof/>
                </w:rPr>
                <m:t>*&gt;</m:t>
              </m:r>
              <m:r>
                <w:rPr>
                  <w:rStyle w:val="Hyperlink"/>
                  <w:rFonts w:ascii="Cambria Math" w:hAnsi="Cambria Math"/>
                  <w:noProof/>
                </w:rPr>
                <m:t>N</m:t>
              </m:r>
            </m:oMath>
            <w:r w:rsidRPr="005411F5">
              <w:rPr>
                <w:rStyle w:val="Hyperlink"/>
                <w:noProof/>
              </w:rPr>
              <w:t xml:space="preserve"> early in follow-up</w:t>
            </w:r>
            <w:r>
              <w:rPr>
                <w:noProof/>
                <w:webHidden/>
              </w:rPr>
              <w:tab/>
            </w:r>
            <w:r>
              <w:rPr>
                <w:noProof/>
                <w:webHidden/>
              </w:rPr>
              <w:fldChar w:fldCharType="begin"/>
            </w:r>
            <w:r>
              <w:rPr>
                <w:noProof/>
                <w:webHidden/>
              </w:rPr>
              <w:instrText xml:space="preserve"> PAGEREF _Toc244093844 \h </w:instrText>
            </w:r>
            <w:r>
              <w:rPr>
                <w:noProof/>
                <w:webHidden/>
              </w:rPr>
            </w:r>
            <w:r>
              <w:rPr>
                <w:noProof/>
                <w:webHidden/>
              </w:rPr>
              <w:fldChar w:fldCharType="separate"/>
            </w:r>
            <w:r>
              <w:rPr>
                <w:noProof/>
                <w:webHidden/>
              </w:rPr>
              <w:t>22</w:t>
            </w:r>
            <w:r>
              <w:rPr>
                <w:noProof/>
                <w:webHidden/>
              </w:rPr>
              <w:fldChar w:fldCharType="end"/>
            </w:r>
          </w:hyperlink>
        </w:p>
        <w:p w14:paraId="31872BFE" w14:textId="1EB678F6" w:rsidR="003B7A36" w:rsidRDefault="003B7A36">
          <w:pPr>
            <w:pStyle w:val="TOC1"/>
            <w:tabs>
              <w:tab w:val="right" w:leader="dot" w:pos="9350"/>
            </w:tabs>
            <w:rPr>
              <w:noProof/>
            </w:rPr>
          </w:pPr>
          <w:hyperlink w:anchor="_Toc244093845" w:history="1">
            <w:r w:rsidRPr="005411F5">
              <w:rPr>
                <w:rStyle w:val="Hyperlink"/>
                <w:noProof/>
              </w:rPr>
              <w:t xml:space="preserve">Supplement 9: Convergence of </w:t>
            </w:r>
            <m:oMath>
              <m:r>
                <w:rPr>
                  <w:rStyle w:val="Hyperlink"/>
                  <w:rFonts w:ascii="Cambria Math" w:hAnsi="Cambria Math"/>
                  <w:noProof/>
                </w:rPr>
                <m:t>N</m:t>
              </m:r>
              <m:r>
                <m:rPr>
                  <m:sty m:val="p"/>
                </m:rPr>
                <w:rPr>
                  <w:rStyle w:val="Hyperlink"/>
                  <w:rFonts w:ascii="Cambria Math" w:hAnsi="Cambria Math"/>
                  <w:noProof/>
                </w:rPr>
                <m:t>*</m:t>
              </m:r>
            </m:oMath>
            <w:r w:rsidRPr="005411F5">
              <w:rPr>
                <w:rStyle w:val="Hyperlink"/>
                <w:noProof/>
              </w:rPr>
              <w:t xml:space="preserve"> towards the Kaplan-Meier </w:t>
            </w:r>
            <m:oMath>
              <m:r>
                <w:rPr>
                  <w:rStyle w:val="Hyperlink"/>
                  <w:rFonts w:ascii="Cambria Math" w:hAnsi="Cambria Math"/>
                  <w:noProof/>
                </w:rPr>
                <m:t>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_Toc244093845 \h </w:instrText>
            </w:r>
            <w:r>
              <w:rPr>
                <w:noProof/>
                <w:webHidden/>
              </w:rPr>
            </w:r>
            <w:r>
              <w:rPr>
                <w:noProof/>
                <w:webHidden/>
              </w:rPr>
              <w:fldChar w:fldCharType="separate"/>
            </w:r>
            <w:r>
              <w:rPr>
                <w:noProof/>
                <w:webHidden/>
              </w:rPr>
              <w:t>25</w:t>
            </w:r>
            <w:r>
              <w:rPr>
                <w:noProof/>
                <w:webHidden/>
              </w:rPr>
              <w:fldChar w:fldCharType="end"/>
            </w:r>
          </w:hyperlink>
        </w:p>
        <w:p w14:paraId="29AF8119" w14:textId="35B52943" w:rsidR="003B7A36" w:rsidRDefault="003B7A36">
          <w:pPr>
            <w:pStyle w:val="TOC1"/>
            <w:tabs>
              <w:tab w:val="right" w:leader="dot" w:pos="9350"/>
            </w:tabs>
            <w:rPr>
              <w:noProof/>
            </w:rPr>
          </w:pPr>
          <w:hyperlink w:anchor="_Toc244093846" w:history="1">
            <w:r w:rsidRPr="005411F5">
              <w:rPr>
                <w:rStyle w:val="Hyperlink"/>
                <w:noProof/>
              </w:rPr>
              <w:t>Supplement 10: Logistic regression has higher variance than Cox regression</w:t>
            </w:r>
            <w:r>
              <w:rPr>
                <w:noProof/>
                <w:webHidden/>
              </w:rPr>
              <w:tab/>
            </w:r>
            <w:r>
              <w:rPr>
                <w:noProof/>
                <w:webHidden/>
              </w:rPr>
              <w:fldChar w:fldCharType="begin"/>
            </w:r>
            <w:r>
              <w:rPr>
                <w:noProof/>
                <w:webHidden/>
              </w:rPr>
              <w:instrText xml:space="preserve"> PAGEREF _Toc244093846 \h </w:instrText>
            </w:r>
            <w:r>
              <w:rPr>
                <w:noProof/>
                <w:webHidden/>
              </w:rPr>
            </w:r>
            <w:r>
              <w:rPr>
                <w:noProof/>
                <w:webHidden/>
              </w:rPr>
              <w:fldChar w:fldCharType="separate"/>
            </w:r>
            <w:r>
              <w:rPr>
                <w:noProof/>
                <w:webHidden/>
              </w:rPr>
              <w:t>27</w:t>
            </w:r>
            <w:r>
              <w:rPr>
                <w:noProof/>
                <w:webHidden/>
              </w:rPr>
              <w:fldChar w:fldCharType="end"/>
            </w:r>
          </w:hyperlink>
        </w:p>
        <w:p w14:paraId="4CF85D0B" w14:textId="569CBF77" w:rsidR="003B7A36" w:rsidRDefault="003B7A36">
          <w:pPr>
            <w:pStyle w:val="TOC1"/>
            <w:tabs>
              <w:tab w:val="right" w:leader="dot" w:pos="9350"/>
            </w:tabs>
            <w:rPr>
              <w:noProof/>
            </w:rPr>
          </w:pPr>
          <w:hyperlink w:anchor="_Toc244093847" w:history="1">
            <w:r w:rsidRPr="005411F5">
              <w:rPr>
                <w:rStyle w:val="Hyperlink"/>
                <w:noProof/>
              </w:rPr>
              <w:t>Supplement 11: Effective sample size from a bootstrapped variance estimator</w:t>
            </w:r>
            <w:r>
              <w:rPr>
                <w:noProof/>
                <w:webHidden/>
              </w:rPr>
              <w:tab/>
            </w:r>
            <w:r>
              <w:rPr>
                <w:noProof/>
                <w:webHidden/>
              </w:rPr>
              <w:fldChar w:fldCharType="begin"/>
            </w:r>
            <w:r>
              <w:rPr>
                <w:noProof/>
                <w:webHidden/>
              </w:rPr>
              <w:instrText xml:space="preserve"> PAGEREF _Toc244093847 \h </w:instrText>
            </w:r>
            <w:r>
              <w:rPr>
                <w:noProof/>
                <w:webHidden/>
              </w:rPr>
            </w:r>
            <w:r>
              <w:rPr>
                <w:noProof/>
                <w:webHidden/>
              </w:rPr>
              <w:fldChar w:fldCharType="separate"/>
            </w:r>
            <w:r>
              <w:rPr>
                <w:noProof/>
                <w:webHidden/>
              </w:rPr>
              <w:t>29</w:t>
            </w:r>
            <w:r>
              <w:rPr>
                <w:noProof/>
                <w:webHidden/>
              </w:rPr>
              <w:fldChar w:fldCharType="end"/>
            </w:r>
          </w:hyperlink>
        </w:p>
        <w:p w14:paraId="6F165B57" w14:textId="3E07C7EE" w:rsidR="003B7A36" w:rsidRDefault="003B7A36">
          <w:pPr>
            <w:pStyle w:val="TOC1"/>
            <w:tabs>
              <w:tab w:val="right" w:leader="dot" w:pos="9350"/>
            </w:tabs>
            <w:rPr>
              <w:noProof/>
            </w:rPr>
          </w:pPr>
          <w:hyperlink w:anchor="_Toc244093848" w:history="1">
            <w:r w:rsidRPr="005411F5">
              <w:rPr>
                <w:rStyle w:val="Hyperlink"/>
                <w:noProof/>
              </w:rPr>
              <w:t>Supplement 12: Other results</w:t>
            </w:r>
            <w:r>
              <w:rPr>
                <w:noProof/>
                <w:webHidden/>
              </w:rPr>
              <w:tab/>
            </w:r>
            <w:r>
              <w:rPr>
                <w:noProof/>
                <w:webHidden/>
              </w:rPr>
              <w:fldChar w:fldCharType="begin"/>
            </w:r>
            <w:r>
              <w:rPr>
                <w:noProof/>
                <w:webHidden/>
              </w:rPr>
              <w:instrText xml:space="preserve"> PAGEREF _Toc244093848 \h </w:instrText>
            </w:r>
            <w:r>
              <w:rPr>
                <w:noProof/>
                <w:webHidden/>
              </w:rPr>
            </w:r>
            <w:r>
              <w:rPr>
                <w:noProof/>
                <w:webHidden/>
              </w:rPr>
              <w:fldChar w:fldCharType="separate"/>
            </w:r>
            <w:r>
              <w:rPr>
                <w:noProof/>
                <w:webHidden/>
              </w:rPr>
              <w:t>32</w:t>
            </w:r>
            <w:r>
              <w:rPr>
                <w:noProof/>
                <w:webHidden/>
              </w:rPr>
              <w:fldChar w:fldCharType="end"/>
            </w:r>
          </w:hyperlink>
        </w:p>
        <w:p w14:paraId="47BB0B78" w14:textId="1A620E21" w:rsidR="003B7A36" w:rsidRDefault="003B7A36">
          <w:pPr>
            <w:pStyle w:val="TOC1"/>
            <w:tabs>
              <w:tab w:val="right" w:leader="dot" w:pos="9350"/>
            </w:tabs>
            <w:rPr>
              <w:noProof/>
            </w:rPr>
          </w:pPr>
          <w:hyperlink w:anchor="_Toc244093849" w:history="1">
            <w:r w:rsidRPr="005411F5">
              <w:rPr>
                <w:rStyle w:val="Hyperlink"/>
                <w:noProof/>
              </w:rPr>
              <w:t>References</w:t>
            </w:r>
            <w:r>
              <w:rPr>
                <w:noProof/>
                <w:webHidden/>
              </w:rPr>
              <w:tab/>
            </w:r>
            <w:r>
              <w:rPr>
                <w:noProof/>
                <w:webHidden/>
              </w:rPr>
              <w:fldChar w:fldCharType="begin"/>
            </w:r>
            <w:r>
              <w:rPr>
                <w:noProof/>
                <w:webHidden/>
              </w:rPr>
              <w:instrText xml:space="preserve"> PAGEREF _Toc244093849 \h </w:instrText>
            </w:r>
            <w:r>
              <w:rPr>
                <w:noProof/>
                <w:webHidden/>
              </w:rPr>
            </w:r>
            <w:r>
              <w:rPr>
                <w:noProof/>
                <w:webHidden/>
              </w:rPr>
              <w:fldChar w:fldCharType="separate"/>
            </w:r>
            <w:r>
              <w:rPr>
                <w:noProof/>
                <w:webHidden/>
              </w:rPr>
              <w:t>34</w:t>
            </w:r>
            <w:r>
              <w:rPr>
                <w:noProof/>
                <w:webHidden/>
              </w:rPr>
              <w:fldChar w:fldCharType="end"/>
            </w:r>
          </w:hyperlink>
        </w:p>
        <w:p w14:paraId="3107AC6E" w14:textId="6DB3E5F7" w:rsidR="00AC0E14" w:rsidRDefault="00000000">
          <w:r>
            <w:fldChar w:fldCharType="end"/>
          </w:r>
        </w:p>
      </w:sdtContent>
    </w:sdt>
    <w:p w14:paraId="0E6ECE0F" w14:textId="77777777" w:rsidR="00AC0E14" w:rsidRDefault="00000000">
      <w:r>
        <w:br w:type="page"/>
      </w:r>
    </w:p>
    <w:p w14:paraId="4BE3BD9C" w14:textId="77777777" w:rsidR="00AC0E14" w:rsidRDefault="00000000">
      <w:pPr>
        <w:pStyle w:val="Heading1"/>
      </w:pPr>
      <w:bookmarkStart w:id="0" w:name="supplement-1-4d-picture-collaborators"/>
      <w:bookmarkStart w:id="1" w:name="_Toc244093837"/>
      <w:r>
        <w:lastRenderedPageBreak/>
        <w:t>Supplement 1: 4D PICTURE Collaborators</w:t>
      </w:r>
      <w:bookmarkEnd w:id="1"/>
    </w:p>
    <w:p w14:paraId="7AEDF14B" w14:textId="77777777" w:rsidR="00AC0E14" w:rsidRDefault="00000000">
      <w:pPr>
        <w:pStyle w:val="FirstParagraph"/>
      </w:pPr>
      <w:r>
        <w:t>The scientific members of the 4D PICTURE consortium who are not authors on this manuscript. Names and affiliations are as follows:</w:t>
      </w:r>
    </w:p>
    <w:p w14:paraId="154ED278" w14:textId="77777777" w:rsidR="00AC0E14" w:rsidRDefault="00000000">
      <w:pPr>
        <w:pStyle w:val="BodyText"/>
      </w:pPr>
      <w:r>
        <w:t>Gaby Sroczynski</w:t>
      </w:r>
      <m:oMath>
        <m:sSup>
          <m:sSupPr>
            <m:ctrlPr>
              <w:rPr>
                <w:rFonts w:ascii="Cambria Math" w:hAnsi="Cambria Math"/>
              </w:rPr>
            </m:ctrlPr>
          </m:sSupPr>
          <m:e>
            <m: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Uwe Siebert</w:t>
      </w:r>
      <m:oMath>
        <m:sSup>
          <m:sSupPr>
            <m:ctrlPr>
              <w:rPr>
                <w:rFonts w:ascii="Cambria Math" w:hAnsi="Cambria Math"/>
              </w:rPr>
            </m:ctrlPr>
          </m:sSupPr>
          <m:e>
            <m: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sup>
        </m:sSup>
      </m:oMath>
      <w:r>
        <w:t>, Roberto Pazo-Cid</w:t>
      </w:r>
      <m:oMath>
        <m:sSup>
          <m:sSupPr>
            <m:ctrlPr>
              <w:rPr>
                <w:rFonts w:ascii="Cambria Math" w:hAnsi="Cambria Math"/>
              </w:rPr>
            </m:ctrlPr>
          </m:sSupPr>
          <m:e>
            <m:r>
              <w:rPr>
                <w:rFonts w:ascii="Cambria Math" w:hAnsi="Cambria Math"/>
              </w:rPr>
              <m:t>​</m:t>
            </m:r>
          </m:e>
          <m:sup>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sup>
        </m:sSup>
      </m:oMath>
      <w:r>
        <w:t>, Lára R. Hallsson</w:t>
      </w:r>
      <m:oMath>
        <m:sSup>
          <m:sSupPr>
            <m:ctrlPr>
              <w:rPr>
                <w:rFonts w:ascii="Cambria Math" w:hAnsi="Cambria Math"/>
              </w:rPr>
            </m:ctrlPr>
          </m:sSupPr>
          <m:e>
            <m: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Michel W. Wouters</w:t>
      </w:r>
      <m:oMath>
        <m:sSup>
          <m:sSupPr>
            <m:ctrlPr>
              <w:rPr>
                <w:rFonts w:ascii="Cambria Math" w:hAnsi="Cambria Math"/>
              </w:rPr>
            </m:ctrlPr>
          </m:sSupPr>
          <m:e>
            <m:r>
              <w:rPr>
                <w:rFonts w:ascii="Cambria Math" w:hAnsi="Cambria Math"/>
              </w:rPr>
              <m:t>​</m:t>
            </m:r>
          </m:e>
          <m:sup>
            <m:r>
              <w:rPr>
                <w:rFonts w:ascii="Cambria Math" w:hAnsi="Cambria Math"/>
              </w:rPr>
              <m:t>8</m:t>
            </m:r>
          </m:sup>
        </m:sSup>
      </m:oMath>
      <w:r>
        <w:t>, Iñaki Alvarez Busto</w:t>
      </w:r>
      <m:oMath>
        <m:sSup>
          <m:sSupPr>
            <m:ctrlPr>
              <w:rPr>
                <w:rFonts w:ascii="Cambria Math" w:hAnsi="Cambria Math"/>
              </w:rPr>
            </m:ctrlPr>
          </m:sSupPr>
          <m:e>
            <m:r>
              <w:rPr>
                <w:rFonts w:ascii="Cambria Math" w:hAnsi="Cambria Math"/>
              </w:rPr>
              <m:t>​</m:t>
            </m:r>
          </m:e>
          <m:sup>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sup>
        </m:sSup>
      </m:oMath>
      <w:r>
        <w:t>, Lennart Koch</w:t>
      </w:r>
      <m:oMath>
        <m:sSup>
          <m:sSupPr>
            <m:ctrlPr>
              <w:rPr>
                <w:rFonts w:ascii="Cambria Math" w:hAnsi="Cambria Math"/>
              </w:rPr>
            </m:ctrlPr>
          </m:sSupPr>
          <m:e>
            <m: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Mette Byg Josefsen</w:t>
      </w:r>
      <m:oMath>
        <m:sSup>
          <m:sSupPr>
            <m:ctrlPr>
              <w:rPr>
                <w:rFonts w:ascii="Cambria Math" w:hAnsi="Cambria Math"/>
              </w:rPr>
            </m:ctrlPr>
          </m:sSupPr>
          <m:e>
            <m:r>
              <w:rPr>
                <w:rFonts w:ascii="Cambria Math" w:hAnsi="Cambria Math"/>
              </w:rPr>
              <m:t>​</m:t>
            </m:r>
          </m:e>
          <m:sup>
            <m:r>
              <w:rPr>
                <w:rFonts w:ascii="Cambria Math" w:hAnsi="Cambria Math"/>
              </w:rPr>
              <m:t>9</m:t>
            </m:r>
          </m:sup>
        </m:sSup>
      </m:oMath>
      <w:r>
        <w:t>, Yassin Engelberts</w:t>
      </w:r>
      <m:oMath>
        <m:sSup>
          <m:sSupPr>
            <m:ctrlPr>
              <w:rPr>
                <w:rFonts w:ascii="Cambria Math" w:hAnsi="Cambria Math"/>
              </w:rPr>
            </m:ctrlPr>
          </m:sSupPr>
          <m:e>
            <m:r>
              <w:rPr>
                <w:rFonts w:ascii="Cambria Math" w:hAnsi="Cambria Math"/>
              </w:rPr>
              <m:t>​</m:t>
            </m:r>
          </m:e>
          <m:sup>
            <m:r>
              <w:rPr>
                <w:rFonts w:ascii="Cambria Math" w:hAnsi="Cambria Math"/>
              </w:rPr>
              <m:t>10</m:t>
            </m:r>
          </m:sup>
        </m:sSup>
      </m:oMath>
      <w:r>
        <w:t>, Yufeng Liu</w:t>
      </w:r>
      <m:oMath>
        <m:sSup>
          <m:sSupPr>
            <m:ctrlPr>
              <w:rPr>
                <w:rFonts w:ascii="Cambria Math" w:hAnsi="Cambria Math"/>
              </w:rPr>
            </m:ctrlPr>
          </m:sSupPr>
          <m:e>
            <m:r>
              <w:rPr>
                <w:rFonts w:ascii="Cambria Math" w:hAnsi="Cambria Math"/>
              </w:rPr>
              <m:t>​</m:t>
            </m:r>
          </m:e>
          <m:sup>
            <m:r>
              <w:rPr>
                <w:rFonts w:ascii="Cambria Math" w:hAnsi="Cambria Math"/>
              </w:rPr>
              <m:t>11</m:t>
            </m:r>
          </m:sup>
        </m:sSup>
      </m:oMath>
      <w:r>
        <w:t>, Claudia Cruz Oliveira</w:t>
      </w:r>
      <m:oMath>
        <m:sSup>
          <m:sSupPr>
            <m:ctrlPr>
              <w:rPr>
                <w:rFonts w:ascii="Cambria Math" w:hAnsi="Cambria Math"/>
              </w:rPr>
            </m:ctrlPr>
          </m:sSupPr>
          <m:e>
            <m:r>
              <w:rPr>
                <w:rFonts w:ascii="Cambria Math" w:hAnsi="Cambria Math"/>
              </w:rPr>
              <m:t>​</m:t>
            </m:r>
          </m:e>
          <m:sup>
            <m:r>
              <w:rPr>
                <w:rFonts w:ascii="Cambria Math" w:hAnsi="Cambria Math"/>
              </w:rPr>
              <m:t>10</m:t>
            </m:r>
          </m:sup>
        </m:sSup>
      </m:oMath>
      <w:r>
        <w:t>, Elfi M. Verheul</w:t>
      </w:r>
      <m:oMath>
        <m:sSup>
          <m:sSupPr>
            <m:ctrlPr>
              <w:rPr>
                <w:rFonts w:ascii="Cambria Math" w:hAnsi="Cambria Math"/>
              </w:rPr>
            </m:ctrlPr>
          </m:sSupPr>
          <m:e>
            <m:r>
              <w:rPr>
                <w:rFonts w:ascii="Cambria Math" w:hAnsi="Cambria Math"/>
              </w:rPr>
              <m:t>​</m:t>
            </m:r>
          </m:e>
          <m:sup>
            <m:r>
              <w:rPr>
                <w:rFonts w:ascii="Cambria Math" w:hAnsi="Cambria Math"/>
              </w:rPr>
              <m:t>10</m:t>
            </m:r>
          </m:sup>
        </m:sSup>
      </m:oMath>
      <w:r>
        <w:t>, Barbara Perić</w:t>
      </w:r>
      <m:oMath>
        <m:sSup>
          <m:sSupPr>
            <m:ctrlPr>
              <w:rPr>
                <w:rFonts w:ascii="Cambria Math" w:hAnsi="Cambria Math"/>
              </w:rPr>
            </m:ctrlPr>
          </m:sSupPr>
          <m:e>
            <m:r>
              <w:rPr>
                <w:rFonts w:ascii="Cambria Math" w:hAnsi="Cambria Math"/>
              </w:rPr>
              <m:t>​</m:t>
            </m:r>
          </m:e>
          <m:sup>
            <m:r>
              <w:rPr>
                <w:rFonts w:ascii="Cambria Math" w:hAnsi="Cambria Math"/>
              </w:rPr>
              <m:t>12</m:t>
            </m:r>
          </m:sup>
        </m:sSup>
      </m:oMath>
      <w:r>
        <w:t>, Anne Stiggelbout</w:t>
      </w:r>
      <m:oMath>
        <m:sSup>
          <m:sSupPr>
            <m:ctrlPr>
              <w:rPr>
                <w:rFonts w:ascii="Cambria Math" w:hAnsi="Cambria Math"/>
              </w:rPr>
            </m:ctrlPr>
          </m:sSupPr>
          <m:e>
            <m:r>
              <w:rPr>
                <w:rFonts w:ascii="Cambria Math" w:hAnsi="Cambria Math"/>
              </w:rPr>
              <m:t>​</m:t>
            </m:r>
          </m:e>
          <m:sup>
            <m:r>
              <w:rPr>
                <w:rFonts w:ascii="Cambria Math" w:hAnsi="Cambria Math"/>
              </w:rPr>
              <m:t>8</m:t>
            </m:r>
          </m:sup>
        </m:sSup>
      </m:oMath>
      <w:r>
        <w:t>, Ida Korfage</w:t>
      </w:r>
      <m:oMath>
        <m:sSup>
          <m:sSupPr>
            <m:ctrlPr>
              <w:rPr>
                <w:rFonts w:ascii="Cambria Math" w:hAnsi="Cambria Math"/>
              </w:rPr>
            </m:ctrlPr>
          </m:sSupPr>
          <m:e>
            <m:r>
              <w:rPr>
                <w:rFonts w:ascii="Cambria Math" w:hAnsi="Cambria Math"/>
              </w:rPr>
              <m:t>​</m:t>
            </m:r>
          </m:e>
          <m:sup>
            <m:r>
              <w:rPr>
                <w:rFonts w:ascii="Cambria Math" w:hAnsi="Cambria Math"/>
              </w:rPr>
              <m:t>10</m:t>
            </m:r>
          </m:sup>
        </m:sSup>
      </m:oMath>
      <w:r>
        <w:t>, Kasper Frank</w:t>
      </w:r>
      <m:oMath>
        <m:sSup>
          <m:sSupPr>
            <m:ctrlPr>
              <w:rPr>
                <w:rFonts w:ascii="Cambria Math" w:hAnsi="Cambria Math"/>
              </w:rPr>
            </m:ctrlPr>
          </m:sSupPr>
          <m:e>
            <m:r>
              <w:rPr>
                <w:rFonts w:ascii="Cambria Math" w:hAnsi="Cambria Math"/>
              </w:rPr>
              <m:t>​</m:t>
            </m:r>
          </m:e>
          <m:sup>
            <m:r>
              <w:rPr>
                <w:rFonts w:ascii="Cambria Math" w:hAnsi="Cambria Math"/>
              </w:rPr>
              <m:t>9</m:t>
            </m:r>
          </m:sup>
        </m:sSup>
      </m:oMath>
      <w:r>
        <w:t>, Tamara Wit</w:t>
      </w:r>
      <m:oMath>
        <m:sSup>
          <m:sSupPr>
            <m:ctrlPr>
              <w:rPr>
                <w:rFonts w:ascii="Cambria Math" w:hAnsi="Cambria Math"/>
              </w:rPr>
            </m:ctrlPr>
          </m:sSupPr>
          <m:e>
            <m:r>
              <w:rPr>
                <w:rFonts w:ascii="Cambria Math" w:hAnsi="Cambria Math"/>
              </w:rPr>
              <m:t>​</m:t>
            </m:r>
          </m:e>
          <m:sup>
            <m:r>
              <w:rPr>
                <w:rFonts w:ascii="Cambria Math" w:hAnsi="Cambria Math"/>
              </w:rPr>
              <m:t>8</m:t>
            </m:r>
          </m:sup>
        </m:sSup>
      </m:oMath>
      <w:r>
        <w:t>, Amara Callistus Nwosu</w:t>
      </w:r>
      <m:oMath>
        <m:sSup>
          <m:sSupPr>
            <m:ctrlPr>
              <w:rPr>
                <w:rFonts w:ascii="Cambria Math" w:hAnsi="Cambria Math"/>
              </w:rPr>
            </m:ctrlPr>
          </m:sSupPr>
          <m:e>
            <m:r>
              <w:rPr>
                <w:rFonts w:ascii="Cambria Math" w:hAnsi="Cambria Math"/>
              </w:rPr>
              <m:t>​</m:t>
            </m:r>
          </m:e>
          <m:sup>
            <m:r>
              <w:rPr>
                <w:rFonts w:ascii="Cambria Math" w:hAnsi="Cambria Math"/>
              </w:rPr>
              <m:t>13</m:t>
            </m:r>
            <m:r>
              <m:rPr>
                <m:sty m:val="p"/>
              </m:rPr>
              <w:rPr>
                <w:rFonts w:ascii="Cambria Math" w:hAnsi="Cambria Math"/>
              </w:rPr>
              <m:t>,</m:t>
            </m:r>
            <m:r>
              <w:rPr>
                <w:rFonts w:ascii="Cambria Math" w:hAnsi="Cambria Math"/>
              </w:rPr>
              <m:t>14</m:t>
            </m:r>
          </m:sup>
        </m:sSup>
      </m:oMath>
      <w:r>
        <w:t>, Ellen Kapiteijn</w:t>
      </w:r>
      <m:oMath>
        <m:sSup>
          <m:sSupPr>
            <m:ctrlPr>
              <w:rPr>
                <w:rFonts w:ascii="Cambria Math" w:hAnsi="Cambria Math"/>
              </w:rPr>
            </m:ctrlPr>
          </m:sSupPr>
          <m:e>
            <m:r>
              <w:rPr>
                <w:rFonts w:ascii="Cambria Math" w:hAnsi="Cambria Math"/>
              </w:rPr>
              <m:t>​</m:t>
            </m:r>
          </m:e>
          <m:sup>
            <m:r>
              <w:rPr>
                <w:rFonts w:ascii="Cambria Math" w:hAnsi="Cambria Math"/>
              </w:rPr>
              <m:t>15</m:t>
            </m:r>
          </m:sup>
        </m:sSup>
      </m:oMath>
      <w:r>
        <w:t>, Frank Doornkamp</w:t>
      </w:r>
      <m:oMath>
        <m:sSup>
          <m:sSupPr>
            <m:ctrlPr>
              <w:rPr>
                <w:rFonts w:ascii="Cambria Math" w:hAnsi="Cambria Math"/>
              </w:rPr>
            </m:ctrlPr>
          </m:sSupPr>
          <m:e>
            <m:r>
              <w:rPr>
                <w:rFonts w:ascii="Cambria Math" w:hAnsi="Cambria Math"/>
              </w:rPr>
              <m:t>​</m:t>
            </m:r>
          </m:e>
          <m:sup>
            <m:r>
              <w:rPr>
                <w:rFonts w:ascii="Cambria Math" w:hAnsi="Cambria Math"/>
              </w:rPr>
              <m:t>16</m:t>
            </m:r>
          </m:sup>
        </m:sSup>
      </m:oMath>
      <w:r>
        <w:t>, Judith Rietjens</w:t>
      </w:r>
      <m:oMath>
        <m:sSup>
          <m:sSupPr>
            <m:ctrlPr>
              <w:rPr>
                <w:rFonts w:ascii="Cambria Math" w:hAnsi="Cambria Math"/>
              </w:rPr>
            </m:ctrlPr>
          </m:sSupPr>
          <m:e>
            <m:r>
              <w:rPr>
                <w:rFonts w:ascii="Cambria Math" w:hAnsi="Cambria Math"/>
              </w:rPr>
              <m:t>​</m:t>
            </m:r>
          </m:e>
          <m:sup>
            <m:r>
              <w:rPr>
                <w:rFonts w:ascii="Cambria Math" w:hAnsi="Cambria Math"/>
              </w:rPr>
              <m:t>10</m:t>
            </m:r>
            <m:r>
              <m:rPr>
                <m:sty m:val="p"/>
              </m:rPr>
              <w:rPr>
                <w:rFonts w:ascii="Cambria Math" w:hAnsi="Cambria Math"/>
              </w:rPr>
              <m:t>,</m:t>
            </m:r>
            <m:r>
              <w:rPr>
                <w:rFonts w:ascii="Cambria Math" w:hAnsi="Cambria Math"/>
              </w:rPr>
              <m:t>17</m:t>
            </m:r>
          </m:sup>
        </m:sSup>
      </m:oMath>
      <w:r>
        <w:t>, Suzan Verberne</w:t>
      </w:r>
      <m:oMath>
        <m:sSup>
          <m:sSupPr>
            <m:ctrlPr>
              <w:rPr>
                <w:rFonts w:ascii="Cambria Math" w:hAnsi="Cambria Math"/>
              </w:rPr>
            </m:ctrlPr>
          </m:sSupPr>
          <m:e>
            <m:r>
              <w:rPr>
                <w:rFonts w:ascii="Cambria Math" w:hAnsi="Cambria Math"/>
              </w:rPr>
              <m:t>​</m:t>
            </m:r>
          </m:e>
          <m:sup>
            <m:r>
              <w:rPr>
                <w:rFonts w:ascii="Cambria Math" w:hAnsi="Cambria Math"/>
              </w:rPr>
              <m:t>18</m:t>
            </m:r>
          </m:sup>
        </m:sSup>
      </m:oMath>
      <w:r>
        <w:t>, Carlos Romero-Piqueras</w:t>
      </w:r>
      <m:oMath>
        <m:sSup>
          <m:sSupPr>
            <m:ctrlPr>
              <w:rPr>
                <w:rFonts w:ascii="Cambria Math" w:hAnsi="Cambria Math"/>
              </w:rPr>
            </m:ctrlPr>
          </m:sSupPr>
          <m:e>
            <m:r>
              <w:rPr>
                <w:rFonts w:ascii="Cambria Math" w:hAnsi="Cambria Math"/>
              </w:rPr>
              <m:t>​</m:t>
            </m:r>
          </m:e>
          <m:sup>
            <m:r>
              <w:rPr>
                <w:rFonts w:ascii="Cambria Math" w:hAnsi="Cambria Math"/>
              </w:rPr>
              <m:t>19</m:t>
            </m:r>
          </m:sup>
        </m:sSup>
      </m:oMath>
    </w:p>
    <w:p w14:paraId="0BED01C4" w14:textId="77777777" w:rsidR="00AC0E14" w:rsidRDefault="00000000">
      <w:pPr>
        <w:pStyle w:val="BodyText"/>
      </w:pPr>
      <w:r>
        <w:rPr>
          <w:vertAlign w:val="superscript"/>
        </w:rPr>
        <w:t>1</w:t>
      </w:r>
      <w:r>
        <w:t xml:space="preserve"> Institute of Public Health, Medical Decision Making and Health Technology Assessment</w:t>
      </w:r>
    </w:p>
    <w:p w14:paraId="1E696A36" w14:textId="77777777" w:rsidR="00AC0E14" w:rsidRDefault="00000000">
      <w:pPr>
        <w:pStyle w:val="BodyText"/>
      </w:pPr>
      <w:r>
        <w:rPr>
          <w:vertAlign w:val="superscript"/>
        </w:rPr>
        <w:t>2</w:t>
      </w:r>
      <w:r>
        <w:t xml:space="preserve"> Department of Public Health, Health Services Research and Health Technology Assessment, UMIT TIROL – University for Health Sciences and Technology, Hall in Tirol, Austria</w:t>
      </w:r>
    </w:p>
    <w:p w14:paraId="4D1C6153" w14:textId="77777777" w:rsidR="00AC0E14" w:rsidRDefault="00000000">
      <w:pPr>
        <w:pStyle w:val="BodyText"/>
      </w:pPr>
      <w:r>
        <w:rPr>
          <w:vertAlign w:val="superscript"/>
        </w:rPr>
        <w:t>3</w:t>
      </w:r>
      <w:r>
        <w:t xml:space="preserve"> Center for Health Decision Science and Departments of Epidemiology and Health Policy &amp; Management, Harvard T.H. Chan School of Public Health</w:t>
      </w:r>
    </w:p>
    <w:p w14:paraId="54CE8079" w14:textId="77777777" w:rsidR="00AC0E14" w:rsidRDefault="00000000">
      <w:pPr>
        <w:pStyle w:val="BodyText"/>
      </w:pPr>
      <w:r>
        <w:rPr>
          <w:vertAlign w:val="superscript"/>
        </w:rPr>
        <w:t>4</w:t>
      </w:r>
      <w:r>
        <w:t xml:space="preserve"> Institute for Technology Assessment, Department of Radiology, Massachusetts General Hospital, Harvard Medical School, Boston, MA, USA</w:t>
      </w:r>
    </w:p>
    <w:p w14:paraId="11237B33" w14:textId="77777777" w:rsidR="00AC0E14" w:rsidRDefault="00000000">
      <w:pPr>
        <w:pStyle w:val="BodyText"/>
      </w:pPr>
      <w:r>
        <w:rPr>
          <w:vertAlign w:val="superscript"/>
        </w:rPr>
        <w:t>5</w:t>
      </w:r>
      <w:r>
        <w:t xml:space="preserve"> Department of Medical Oncology, Miguel Servet University Hospital, Facultad de Medicina. Universidad de Zaragoza, Instituto Investigación Sanitaria Aragón, Zaragoza, Spain</w:t>
      </w:r>
    </w:p>
    <w:p w14:paraId="193A13D2" w14:textId="77777777" w:rsidR="00AC0E14" w:rsidRDefault="00000000">
      <w:pPr>
        <w:pStyle w:val="BodyText"/>
      </w:pPr>
      <w:r>
        <w:rPr>
          <w:vertAlign w:val="superscript"/>
        </w:rPr>
        <w:t>6</w:t>
      </w:r>
      <w:r>
        <w:t xml:space="preserve"> Medical Oncology, Instituto de Investigación Sanitaria de Aragón (IIS-A)</w:t>
      </w:r>
    </w:p>
    <w:p w14:paraId="64170CEB" w14:textId="77777777" w:rsidR="00AC0E14" w:rsidRDefault="00000000">
      <w:pPr>
        <w:pStyle w:val="BodyText"/>
      </w:pPr>
      <w:r>
        <w:rPr>
          <w:vertAlign w:val="superscript"/>
        </w:rPr>
        <w:t>7</w:t>
      </w:r>
      <w:r>
        <w:t xml:space="preserve"> Hospital Universitario Miguel Servet, Zaragoza, Spain</w:t>
      </w:r>
    </w:p>
    <w:p w14:paraId="635784F6" w14:textId="77777777" w:rsidR="00AC0E14" w:rsidRDefault="00000000">
      <w:pPr>
        <w:pStyle w:val="BodyText"/>
      </w:pPr>
      <w:r>
        <w:rPr>
          <w:vertAlign w:val="superscript"/>
        </w:rPr>
        <w:t>8</w:t>
      </w:r>
      <w:r>
        <w:t xml:space="preserve"> Medical Decision Making, Department of Biomedical Data Sciences, Leiden University Medical Center, Leiden, the Netherlands</w:t>
      </w:r>
    </w:p>
    <w:p w14:paraId="2F94B94B" w14:textId="77777777" w:rsidR="00AC0E14" w:rsidRDefault="00000000">
      <w:pPr>
        <w:pStyle w:val="BodyText"/>
      </w:pPr>
      <w:r>
        <w:rPr>
          <w:vertAlign w:val="superscript"/>
        </w:rPr>
        <w:t>9</w:t>
      </w:r>
      <w:r>
        <w:t xml:space="preserve"> Center for Shared Decision Making Vejle/Lillebaelt University Hospital of Southern Denmark</w:t>
      </w:r>
    </w:p>
    <w:p w14:paraId="7795499C" w14:textId="77777777" w:rsidR="00AC0E14" w:rsidRDefault="00000000">
      <w:pPr>
        <w:pStyle w:val="BodyText"/>
      </w:pPr>
      <w:r>
        <w:rPr>
          <w:vertAlign w:val="superscript"/>
        </w:rPr>
        <w:t>10</w:t>
      </w:r>
      <w:r>
        <w:t xml:space="preserve"> Department of Public Health, Erasmus MC, University Medical Center Rotterdam, Rotterdam, the Netherlands</w:t>
      </w:r>
    </w:p>
    <w:p w14:paraId="3535DDEF" w14:textId="77777777" w:rsidR="00AC0E14" w:rsidRDefault="00000000">
      <w:pPr>
        <w:pStyle w:val="BodyText"/>
      </w:pPr>
      <w:r>
        <w:rPr>
          <w:vertAlign w:val="superscript"/>
        </w:rPr>
        <w:t>11</w:t>
      </w:r>
      <w:r>
        <w:t xml:space="preserve"> Department of Linguistics and English Language, Lancaster University, Lancaster, United Kingdom</w:t>
      </w:r>
    </w:p>
    <w:p w14:paraId="6E8FE1D4" w14:textId="77777777" w:rsidR="00AC0E14" w:rsidRDefault="00000000">
      <w:pPr>
        <w:pStyle w:val="BodyText"/>
      </w:pPr>
      <w:r>
        <w:rPr>
          <w:vertAlign w:val="superscript"/>
        </w:rPr>
        <w:t>12</w:t>
      </w:r>
      <w:r>
        <w:t xml:space="preserve"> Institute of Oncology Ljubljana, Medical faculty Ljubljana, University of Ljubljana, Ljubljana, Slovenia</w:t>
      </w:r>
    </w:p>
    <w:p w14:paraId="20D77136" w14:textId="77777777" w:rsidR="00AC0E14" w:rsidRDefault="00000000">
      <w:pPr>
        <w:pStyle w:val="BodyText"/>
      </w:pPr>
      <w:r>
        <w:rPr>
          <w:vertAlign w:val="superscript"/>
        </w:rPr>
        <w:t>13</w:t>
      </w:r>
      <w:r>
        <w:t xml:space="preserve"> International Observatory on End of Life Care, Lancaster University, Lancaster, United Kingdom</w:t>
      </w:r>
    </w:p>
    <w:p w14:paraId="041EED60" w14:textId="77777777" w:rsidR="00AC0E14" w:rsidRDefault="00000000">
      <w:pPr>
        <w:pStyle w:val="BodyText"/>
      </w:pPr>
      <w:r>
        <w:rPr>
          <w:vertAlign w:val="superscript"/>
        </w:rPr>
        <w:lastRenderedPageBreak/>
        <w:t>14</w:t>
      </w:r>
      <w:r>
        <w:t xml:space="preserve"> Marie Curie North West, Liverpool, United Kingdom</w:t>
      </w:r>
    </w:p>
    <w:p w14:paraId="31853DAA" w14:textId="77777777" w:rsidR="00AC0E14" w:rsidRDefault="00000000">
      <w:pPr>
        <w:pStyle w:val="BodyText"/>
      </w:pPr>
      <w:r>
        <w:rPr>
          <w:vertAlign w:val="superscript"/>
        </w:rPr>
        <w:t>15</w:t>
      </w:r>
      <w:r>
        <w:t xml:space="preserve"> Department of Medical Oncology, Leiden University Medical Center, Leiden, the Netherlands</w:t>
      </w:r>
    </w:p>
    <w:p w14:paraId="5F9B68AA" w14:textId="77777777" w:rsidR="00AC0E14" w:rsidRDefault="00000000">
      <w:pPr>
        <w:pStyle w:val="BodyText"/>
      </w:pPr>
      <w:r>
        <w:rPr>
          <w:vertAlign w:val="superscript"/>
        </w:rPr>
        <w:t>16</w:t>
      </w:r>
      <w:r>
        <w:t xml:space="preserve"> Medical Statistics, Department of Biomedical Data Sciences, Leiden University Medical Center, Leiden, the Netherlands</w:t>
      </w:r>
    </w:p>
    <w:p w14:paraId="680B2DA7" w14:textId="77777777" w:rsidR="00AC0E14" w:rsidRDefault="00000000">
      <w:pPr>
        <w:pStyle w:val="BodyText"/>
      </w:pPr>
      <w:r>
        <w:rPr>
          <w:vertAlign w:val="superscript"/>
        </w:rPr>
        <w:t>17</w:t>
      </w:r>
      <w:r>
        <w:t xml:space="preserve"> Department of Design, Organisation and Strategy, Faculty of Industrial Design Engineering, Delft University of Technology, Delft, the Netherlands</w:t>
      </w:r>
    </w:p>
    <w:p w14:paraId="0FE34F17" w14:textId="77777777" w:rsidR="00AC0E14" w:rsidRDefault="00000000">
      <w:pPr>
        <w:pStyle w:val="BodyText"/>
      </w:pPr>
      <w:r>
        <w:rPr>
          <w:vertAlign w:val="superscript"/>
        </w:rPr>
        <w:t>18</w:t>
      </w:r>
      <w:r>
        <w:t xml:space="preserve"> Leiden Institute of Advanced Computer Science, Leiden University, Leiden, the Netherlands</w:t>
      </w:r>
    </w:p>
    <w:p w14:paraId="1E5DDCA8" w14:textId="77777777" w:rsidR="00AC0E14" w:rsidRDefault="00000000">
      <w:pPr>
        <w:pStyle w:val="BodyText"/>
      </w:pPr>
      <w:r>
        <w:rPr>
          <w:vertAlign w:val="superscript"/>
        </w:rPr>
        <w:t>19</w:t>
      </w:r>
      <w:r>
        <w:t xml:space="preserve"> Fractal Strategy, Zaragoza, Spain</w:t>
      </w:r>
    </w:p>
    <w:p w14:paraId="11E6CE75" w14:textId="77777777" w:rsidR="00AC0E14" w:rsidRDefault="00000000">
      <w:r>
        <w:br w:type="page"/>
      </w:r>
    </w:p>
    <w:p w14:paraId="5E8B2589" w14:textId="77777777" w:rsidR="00AC0E14" w:rsidRDefault="00000000">
      <w:pPr>
        <w:pStyle w:val="Heading1"/>
      </w:pPr>
      <w:bookmarkStart w:id="2" w:name="X52b80bdb6621d0b9ca07c319d589edda4ab34c8"/>
      <w:bookmarkStart w:id="3" w:name="_Toc244093838"/>
      <w:bookmarkEnd w:id="0"/>
      <w:r>
        <w:lastRenderedPageBreak/>
        <w:t>Supplement 2: Variance of the Cox model prediction</w:t>
      </w:r>
      <w:bookmarkEnd w:id="3"/>
    </w:p>
    <w:p w14:paraId="1B2BDA1B" w14:textId="77777777" w:rsidR="00AC0E14" w:rsidRDefault="00000000">
      <w:pPr>
        <w:pStyle w:val="FirstParagraph"/>
      </w:pPr>
      <w:r>
        <w:t xml:space="preserve">In the article, we assume the Cox model variance is estimated using the delta method. We use a standard derivation (from the book </w:t>
      </w:r>
      <w:r>
        <w:rPr>
          <w:i/>
          <w:iCs/>
        </w:rPr>
        <w:t>Statistical Models Based on Counting Processes</w:t>
      </w:r>
      <w:r>
        <w:t xml:space="preserve"> by Andersen, Borgan, Gill and Keiding</w:t>
      </w:r>
      <w:r>
        <w:rPr>
          <w:vertAlign w:val="superscript"/>
        </w:rPr>
        <w:t>1</w:t>
      </w:r>
      <w:r>
        <w:t>). Using this method, the variance of a Cox model prediction for a new patient is:</w:t>
      </w:r>
    </w:p>
    <w:p w14:paraId="7C5AEF68" w14:textId="77777777" w:rsidR="00AC0E14"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Cox</m:t>
              </m:r>
            </m:sub>
          </m:sSub>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new</m:t>
                  </m:r>
                </m:sub>
              </m:sSub>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V</m:t>
          </m:r>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new</m:t>
                      </m:r>
                    </m:sub>
                  </m:sSub>
                  <m:r>
                    <m:rPr>
                      <m:sty m:val="p"/>
                    </m:rPr>
                    <w:rPr>
                      <w:rFonts w:ascii="Cambria Math" w:hAnsi="Cambria Math"/>
                    </w:rPr>
                    <m:t>)</m:t>
                  </m:r>
                </m:e>
              </m:d>
              <m:r>
                <m:rPr>
                  <m:sty m:val="b"/>
                </m:rPr>
                <w:rPr>
                  <w:rFonts w:ascii="Cambria Math" w:hAnsi="Cambria Math"/>
                </w:rPr>
                <m:t>β</m:t>
              </m:r>
            </m:e>
          </m:d>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new</m:t>
                              </m:r>
                            </m:sub>
                          </m:sSub>
                        </m:e>
                      </m:d>
                    </m:num>
                    <m:den>
                      <m:r>
                        <m:rPr>
                          <m:sty m:val="p"/>
                        </m:rPr>
                        <w:rPr>
                          <w:rFonts w:ascii="Cambria Math" w:hAnsi="Cambria Math"/>
                        </w:rPr>
                        <m:t>∂</m:t>
                      </m:r>
                      <m:r>
                        <m:rPr>
                          <m:sty m:val="b"/>
                        </m:rPr>
                        <w:rPr>
                          <w:rFonts w:ascii="Cambria Math" w:hAnsi="Cambria Math"/>
                        </w:rPr>
                        <m:t>β</m:t>
                      </m:r>
                    </m:den>
                  </m:f>
                </m:e>
              </m:d>
            </m:e>
            <m:sub>
              <m:r>
                <m:rPr>
                  <m:sty m:val="b"/>
                </m:rPr>
                <w:rPr>
                  <w:rFonts w:ascii="Cambria Math" w:hAnsi="Cambria Math"/>
                </w:rPr>
                <m:t>β</m:t>
              </m:r>
              <m:r>
                <m:rPr>
                  <m:sty m:val="p"/>
                </m:rPr>
                <w:rPr>
                  <w:rFonts w:ascii="Cambria Math" w:hAnsi="Cambria Math"/>
                </w:rPr>
                <m:t>=</m:t>
              </m:r>
              <m:acc>
                <m:accPr>
                  <m:ctrlPr>
                    <w:rPr>
                      <w:rFonts w:ascii="Cambria Math" w:hAnsi="Cambria Math"/>
                    </w:rPr>
                  </m:ctrlPr>
                </m:accPr>
                <m:e>
                  <m:r>
                    <m:rPr>
                      <m:sty m:val="b"/>
                    </m:rPr>
                    <w:rPr>
                      <w:rFonts w:ascii="Cambria Math" w:hAnsi="Cambria Math"/>
                    </w:rPr>
                    <m:t>β</m:t>
                  </m:r>
                </m:e>
              </m:acc>
            </m:sub>
            <m:sup>
              <m:r>
                <m:rPr>
                  <m:sty m:val="p"/>
                </m:rPr>
                <w:rPr>
                  <w:rFonts w:ascii="Cambria Math" w:hAnsi="Cambria Math"/>
                </w:rPr>
                <m:t>⊤</m:t>
              </m:r>
            </m:sup>
          </m:sSubSup>
          <m:r>
            <w:rPr>
              <w:rFonts w:ascii="Cambria Math" w:hAnsi="Cambria Math"/>
            </w:rPr>
            <m:t>V</m:t>
          </m:r>
          <m:d>
            <m:dPr>
              <m:ctrlPr>
                <w:rPr>
                  <w:rFonts w:ascii="Cambria Math" w:hAnsi="Cambria Math"/>
                </w:rPr>
              </m:ctrlPr>
            </m:dPr>
            <m:e>
              <m:acc>
                <m:accPr>
                  <m:ctrlPr>
                    <w:rPr>
                      <w:rFonts w:ascii="Cambria Math" w:hAnsi="Cambria Math"/>
                    </w:rPr>
                  </m:ctrlPr>
                </m:accPr>
                <m:e>
                  <m:r>
                    <m:rPr>
                      <m:sty m:val="b"/>
                    </m:rPr>
                    <w:rPr>
                      <w:rFonts w:ascii="Cambria Math" w:hAnsi="Cambria Math"/>
                    </w:rPr>
                    <m:t>β</m:t>
                  </m:r>
                </m:e>
              </m:acc>
            </m:e>
          </m:d>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new</m:t>
                              </m:r>
                            </m:sub>
                          </m:sSub>
                        </m:e>
                      </m:d>
                    </m:num>
                    <m:den>
                      <m:r>
                        <m:rPr>
                          <m:sty m:val="p"/>
                        </m:rPr>
                        <w:rPr>
                          <w:rFonts w:ascii="Cambria Math" w:hAnsi="Cambria Math"/>
                        </w:rPr>
                        <m:t>∂</m:t>
                      </m:r>
                      <m:r>
                        <m:rPr>
                          <m:sty m:val="b"/>
                        </m:rPr>
                        <w:rPr>
                          <w:rFonts w:ascii="Cambria Math" w:hAnsi="Cambria Math"/>
                        </w:rPr>
                        <m:t>β</m:t>
                      </m:r>
                    </m:den>
                  </m:f>
                </m:e>
              </m:d>
            </m:e>
            <m:sub>
              <m:r>
                <m:rPr>
                  <m:sty m:val="b"/>
                </m:rPr>
                <w:rPr>
                  <w:rFonts w:ascii="Cambria Math" w:hAnsi="Cambria Math"/>
                </w:rPr>
                <m:t>β</m:t>
              </m:r>
              <m:r>
                <m:rPr>
                  <m:sty m:val="p"/>
                </m:rPr>
                <w:rPr>
                  <w:rFonts w:ascii="Cambria Math" w:hAnsi="Cambria Math"/>
                </w:rPr>
                <m:t>=</m:t>
              </m:r>
              <m:acc>
                <m:accPr>
                  <m:ctrlPr>
                    <w:rPr>
                      <w:rFonts w:ascii="Cambria Math" w:hAnsi="Cambria Math"/>
                    </w:rPr>
                  </m:ctrlPr>
                </m:accPr>
                <m:e>
                  <m:r>
                    <m:rPr>
                      <m:sty m:val="b"/>
                    </m:rPr>
                    <w:rPr>
                      <w:rFonts w:ascii="Cambria Math" w:hAnsi="Cambria Math"/>
                    </w:rPr>
                    <m:t>β</m:t>
                  </m:r>
                </m:e>
              </m:acc>
            </m:sub>
          </m:sSub>
        </m:oMath>
      </m:oMathPara>
    </w:p>
    <w:p w14:paraId="479F726D" w14:textId="77777777" w:rsidR="00AC0E14" w:rsidRDefault="00000000">
      <w:pPr>
        <w:pStyle w:val="FirstParagraph"/>
      </w:pPr>
      <w:r>
        <w:t xml:space="preserve">where </w:t>
      </w:r>
      <m:oMath>
        <m:r>
          <w:rPr>
            <w:rFonts w:ascii="Cambria Math" w:hAnsi="Cambria Math"/>
          </w:rPr>
          <m:t>V</m:t>
        </m:r>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x</m:t>
                    </m:r>
                  </m:e>
                  <m:sub>
                    <m:r>
                      <m:rPr>
                        <m:nor/>
                      </m:rPr>
                      <m:t>new</m:t>
                    </m:r>
                  </m:sub>
                </m:sSub>
                <m:r>
                  <m:rPr>
                    <m:sty m:val="p"/>
                  </m:rPr>
                  <w:rPr>
                    <w:rFonts w:ascii="Cambria Math" w:hAnsi="Cambria Math"/>
                  </w:rPr>
                  <m:t>)</m:t>
                </m:r>
              </m:e>
            </m:d>
            <m:r>
              <w:rPr>
                <w:rFonts w:ascii="Cambria Math" w:hAnsi="Cambria Math"/>
              </w:rPr>
              <m:t>β</m:t>
            </m:r>
          </m:e>
        </m:d>
      </m:oMath>
      <w:r>
        <w:t xml:space="preserve"> is the variance of the survival function for a patient with covariates </w:t>
      </w:r>
      <m:oMath>
        <m:sSub>
          <m:sSubPr>
            <m:ctrlPr>
              <w:rPr>
                <w:rFonts w:ascii="Cambria Math" w:hAnsi="Cambria Math"/>
              </w:rPr>
            </m:ctrlPr>
          </m:sSubPr>
          <m:e>
            <m:r>
              <m:rPr>
                <m:sty m:val="b"/>
              </m:rPr>
              <w:rPr>
                <w:rFonts w:ascii="Cambria Math" w:hAnsi="Cambria Math"/>
              </w:rPr>
              <m:t>x</m:t>
            </m:r>
          </m:e>
          <m:sub>
            <m:r>
              <w:rPr>
                <w:rFonts w:ascii="Cambria Math" w:hAnsi="Cambria Math"/>
              </w:rPr>
              <m:t>new</m:t>
            </m:r>
          </m:sub>
        </m:sSub>
      </m:oMath>
      <w:r>
        <w:t xml:space="preserve">, ignoring uncertainty in </w:t>
      </w:r>
      <m:oMath>
        <m:acc>
          <m:accPr>
            <m:ctrlPr>
              <w:rPr>
                <w:rFonts w:ascii="Cambria Math" w:hAnsi="Cambria Math"/>
              </w:rPr>
            </m:ctrlPr>
          </m:accPr>
          <m:e>
            <m:r>
              <w:rPr>
                <w:rFonts w:ascii="Cambria Math" w:hAnsi="Cambria Math"/>
              </w:rPr>
              <m:t>β</m:t>
            </m:r>
          </m:e>
        </m:acc>
      </m:oMath>
      <w:r>
        <w:t>. The second term of the sum concerns the variance due to coefficient estimation, and how this variance impacts the survival function through the gradient of the survival function. The first term of the variance is given by:</w:t>
      </w:r>
    </w:p>
    <w:p w14:paraId="4AF58D00" w14:textId="77777777" w:rsidR="00AC0E14" w:rsidRDefault="00000000">
      <w:pPr>
        <w:pStyle w:val="BodyText"/>
      </w:pPr>
      <m:oMathPara>
        <m:oMathParaPr>
          <m:jc m:val="center"/>
        </m:oMathParaPr>
        <m:oMath>
          <m:r>
            <w:rPr>
              <w:rFonts w:ascii="Cambria Math" w:hAnsi="Cambria Math"/>
            </w:rPr>
            <m:t>V</m:t>
          </m:r>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x</m:t>
                      </m:r>
                    </m:e>
                    <m:sub>
                      <m:r>
                        <m:rPr>
                          <m:nor/>
                        </m:rPr>
                        <m:t>new</m:t>
                      </m:r>
                    </m:sub>
                  </m:sSub>
                  <m:r>
                    <m:rPr>
                      <m:sty m:val="p"/>
                    </m:rPr>
                    <w:rPr>
                      <w:rFonts w:ascii="Cambria Math" w:hAnsi="Cambria Math"/>
                    </w:rPr>
                    <m:t>)</m:t>
                  </m:r>
                </m:e>
              </m:d>
              <m:acc>
                <m:accPr>
                  <m:ctrlPr>
                    <w:rPr>
                      <w:rFonts w:ascii="Cambria Math" w:hAnsi="Cambria Math"/>
                    </w:rPr>
                  </m:ctrlPr>
                </m:accPr>
                <m:e>
                  <m:r>
                    <m:rPr>
                      <m:sty m:val="b"/>
                    </m:rPr>
                    <w:rPr>
                      <w:rFonts w:ascii="Cambria Math" w:hAnsi="Cambria Math"/>
                    </w:rPr>
                    <m:t>β</m:t>
                  </m:r>
                </m:e>
              </m:acc>
            </m:e>
          </m:d>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S</m:t>
                  </m:r>
                </m:e>
              </m:acc>
            </m:e>
            <m:sup>
              <m:r>
                <w:rPr>
                  <w:rFonts w:ascii="Cambria Math" w:hAnsi="Cambria Math"/>
                </w:rPr>
                <m:t>2</m:t>
              </m:r>
            </m:sup>
          </m:sSup>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new</m:t>
                  </m:r>
                </m:sub>
              </m:sSub>
            </m:e>
          </m:d>
          <m:r>
            <m:rPr>
              <m:sty m:val="p"/>
            </m:rPr>
            <w:rPr>
              <w:rFonts w:ascii="Cambria Math" w:hAnsi="Cambria Math"/>
            </w:rPr>
            <m:t>exp</m:t>
          </m:r>
          <m:d>
            <m:dPr>
              <m:ctrlPr>
                <w:rPr>
                  <w:rFonts w:ascii="Cambria Math" w:hAnsi="Cambria Math"/>
                </w:rPr>
              </m:ctrlPr>
            </m:dPr>
            <m:e>
              <m:r>
                <w:rPr>
                  <w:rFonts w:ascii="Cambria Math" w:hAnsi="Cambria Math"/>
                </w:rPr>
                <m:t>2</m:t>
              </m:r>
              <m:sSup>
                <m:sSupPr>
                  <m:ctrlPr>
                    <w:rPr>
                      <w:rFonts w:ascii="Cambria Math" w:hAnsi="Cambria Math"/>
                    </w:rPr>
                  </m:ctrlPr>
                </m:sSupPr>
                <m:e>
                  <m:acc>
                    <m:accPr>
                      <m:ctrlPr>
                        <w:rPr>
                          <w:rFonts w:ascii="Cambria Math" w:hAnsi="Cambria Math"/>
                        </w:rPr>
                      </m:ctrlPr>
                    </m:accPr>
                    <m:e>
                      <m:r>
                        <m:rPr>
                          <m:sty m:val="b"/>
                        </m:rP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m:rPr>
                      <m:nor/>
                    </m:rPr>
                    <m:t>new</m:t>
                  </m:r>
                </m:sub>
              </m:sSub>
            </m:e>
          </m:d>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t</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r>
                                <m:rPr>
                                  <m:sty m:val="p"/>
                                </m:rPr>
                                <w:rPr>
                                  <w:rFonts w:ascii="Cambria Math" w:hAnsi="Cambria Math"/>
                                </w:rPr>
                                <m:t>exp</m:t>
                              </m:r>
                            </m:e>
                          </m:nary>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m:rPr>
                                          <m:sty m:val="b"/>
                                        </m:rP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e>
                      </m:d>
                    </m:e>
                    <m:sup>
                      <m:r>
                        <w:rPr>
                          <w:rFonts w:ascii="Cambria Math" w:hAnsi="Cambria Math"/>
                        </w:rPr>
                        <m:t>2</m:t>
                      </m:r>
                    </m:sup>
                  </m:sSup>
                </m:den>
              </m:f>
            </m:e>
          </m:nary>
        </m:oMath>
      </m:oMathPara>
    </w:p>
    <w:p w14:paraId="492F04D4" w14:textId="77777777" w:rsidR="00AC0E14" w:rsidRDefault="00000000">
      <w:pPr>
        <w:pStyle w:val="FirstParagraph"/>
      </w:pPr>
      <w:r>
        <w:t>which is the Aalen formula for the variance of the baseline survival function, based on the risk-weighted number at risk, multiplied by the risk score of our new patient.</w:t>
      </w:r>
    </w:p>
    <w:p w14:paraId="2BD90BF6" w14:textId="77777777" w:rsidR="00AC0E14" w:rsidRDefault="00000000">
      <w:pPr>
        <w:pStyle w:val="BodyText"/>
      </w:pPr>
      <w:r>
        <w:t xml:space="preserve">The uncertainty in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m:rPr>
                <m:nor/>
              </m:rPr>
              <m:t>new</m:t>
            </m:r>
          </m:sub>
        </m:sSub>
        <m:d>
          <m:dPr>
            <m:ctrlPr>
              <w:rPr>
                <w:rFonts w:ascii="Cambria Math" w:hAnsi="Cambria Math"/>
              </w:rPr>
            </m:ctrlPr>
          </m:dPr>
          <m:e>
            <m:r>
              <w:rPr>
                <w:rFonts w:ascii="Cambria Math" w:hAnsi="Cambria Math"/>
              </w:rPr>
              <m:t>t</m:t>
            </m:r>
          </m:e>
        </m:d>
      </m:oMath>
      <w:r>
        <w:t xml:space="preserve"> caused by the estimation of the coefficients depends on the variance of the coefficients and on the gradient of the survival function with respect to the coefficients. The variance of the estimated coefficients </w:t>
      </w:r>
      <m:oMath>
        <m:r>
          <w:rPr>
            <w:rFonts w:ascii="Cambria Math" w:hAnsi="Cambria Math"/>
          </w:rPr>
          <m:t>V</m:t>
        </m:r>
        <m:d>
          <m:dPr>
            <m:ctrlPr>
              <w:rPr>
                <w:rFonts w:ascii="Cambria Math" w:hAnsi="Cambria Math"/>
              </w:rPr>
            </m:ctrlPr>
          </m:dPr>
          <m:e>
            <m:acc>
              <m:accPr>
                <m:ctrlPr>
                  <w:rPr>
                    <w:rFonts w:ascii="Cambria Math" w:hAnsi="Cambria Math"/>
                  </w:rPr>
                </m:ctrlPr>
              </m:accPr>
              <m:e>
                <m:r>
                  <w:rPr>
                    <w:rFonts w:ascii="Cambria Math" w:hAnsi="Cambria Math"/>
                  </w:rPr>
                  <m:t>β</m:t>
                </m:r>
              </m:e>
            </m:acc>
          </m:e>
        </m:d>
      </m:oMath>
      <w:r>
        <w:t xml:space="preserve"> is asymptotically equal to the inverse Fisher information matrix </w:t>
      </w:r>
      <m:oMath>
        <m:r>
          <w:rPr>
            <w:rFonts w:ascii="Cambria Math" w:hAnsi="Cambria Math"/>
          </w:rPr>
          <m:t>I</m:t>
        </m:r>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β</m:t>
                    </m:r>
                  </m:e>
                </m:acc>
              </m:e>
            </m:d>
          </m:e>
          <m:sup>
            <m:r>
              <m:rPr>
                <m:sty m:val="p"/>
              </m:rPr>
              <w:rPr>
                <w:rFonts w:ascii="Cambria Math" w:hAnsi="Cambria Math"/>
              </w:rPr>
              <m:t>-</m:t>
            </m:r>
            <m:r>
              <w:rPr>
                <w:rFonts w:ascii="Cambria Math" w:hAnsi="Cambria Math"/>
              </w:rPr>
              <m:t>1</m:t>
            </m:r>
          </m:sup>
        </m:sSup>
      </m:oMath>
      <w:r>
        <w:t>. We can estimate the gradient of the survival function with respect to the coefficients by:</w:t>
      </w:r>
    </w:p>
    <w:p w14:paraId="40ACB921" w14:textId="77777777" w:rsidR="00AC0E14" w:rsidRDefault="00000000">
      <w:pPr>
        <w:pStyle w:val="BodyText"/>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new</m:t>
                              </m:r>
                            </m:sub>
                          </m:sSub>
                        </m:e>
                      </m:d>
                    </m:num>
                    <m:den>
                      <m:r>
                        <m:rPr>
                          <m:sty m:val="p"/>
                        </m:rPr>
                        <w:rPr>
                          <w:rFonts w:ascii="Cambria Math" w:hAnsi="Cambria Math"/>
                        </w:rPr>
                        <m:t>∂</m:t>
                      </m:r>
                      <m:r>
                        <w:rPr>
                          <w:rFonts w:ascii="Cambria Math" w:hAnsi="Cambria Math"/>
                        </w:rPr>
                        <m:t>β</m:t>
                      </m:r>
                    </m:den>
                  </m:f>
                </m:e>
              </m:d>
            </m:e>
            <m:sub>
              <m:r>
                <m:rPr>
                  <m:sty m:val="b"/>
                </m:rPr>
                <w:rPr>
                  <w:rFonts w:ascii="Cambria Math" w:hAnsi="Cambria Math"/>
                </w:rPr>
                <m:t>β</m:t>
              </m:r>
              <m:r>
                <m:rPr>
                  <m:sty m:val="p"/>
                </m:rPr>
                <w:rPr>
                  <w:rFonts w:ascii="Cambria Math" w:hAnsi="Cambria Math"/>
                </w:rPr>
                <m:t>=</m:t>
              </m:r>
              <m:acc>
                <m:accPr>
                  <m:ctrlPr>
                    <w:rPr>
                      <w:rFonts w:ascii="Cambria Math" w:hAnsi="Cambria Math"/>
                    </w:rPr>
                  </m:ctrlPr>
                </m:accPr>
                <m:e>
                  <m:r>
                    <m:rPr>
                      <m:sty m:val="b"/>
                    </m:rPr>
                    <w:rPr>
                      <w:rFonts w:ascii="Cambria Math" w:hAnsi="Cambria Math"/>
                    </w:rPr>
                    <m:t>β</m:t>
                  </m:r>
                </m:e>
              </m:acc>
            </m:sub>
          </m:sSub>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new</m:t>
                  </m:r>
                </m:sub>
              </m:sSub>
            </m:e>
          </m:d>
          <m:r>
            <m:rPr>
              <m:sty m:val="p"/>
            </m:rPr>
            <w:rPr>
              <w:rFonts w:ascii="Cambria Math" w:hAnsi="Cambria Math"/>
            </w:rPr>
            <m:t>exp</m:t>
          </m:r>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m:rPr>
                      <m:nor/>
                    </m:rPr>
                    <m:t>new</m:t>
                  </m:r>
                </m:sub>
              </m:sSub>
            </m:e>
          </m:d>
          <m:r>
            <w:rPr>
              <w:rFonts w:ascii="Cambria Math" w:hAnsi="Cambria Math"/>
            </w:rPr>
            <m:t>w</m:t>
          </m:r>
        </m:oMath>
      </m:oMathPara>
    </w:p>
    <w:p w14:paraId="3D46FBE2" w14:textId="77777777" w:rsidR="00AC0E14" w:rsidRDefault="00000000">
      <w:pPr>
        <w:pStyle w:val="FirstParagraph"/>
      </w:pPr>
      <w:r>
        <w:t xml:space="preserve">where </w:t>
      </w:r>
      <m:oMath>
        <m:r>
          <w:rPr>
            <w:rFonts w:ascii="Cambria Math" w:hAnsi="Cambria Math"/>
          </w:rPr>
          <m:t>w</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e>
        </m:d>
      </m:oMath>
      <w:r>
        <w:t xml:space="preserve"> is a vector of partial derivatives, with </w:t>
      </w:r>
      <m:oMath>
        <m:sSub>
          <m:sSubPr>
            <m:ctrlPr>
              <w:rPr>
                <w:rFonts w:ascii="Cambria Math" w:hAnsi="Cambria Math"/>
              </w:rPr>
            </m:ctrlPr>
          </m:sSubPr>
          <m:e>
            <m:r>
              <w:rPr>
                <w:rFonts w:ascii="Cambria Math" w:hAnsi="Cambria Math"/>
              </w:rPr>
              <m:t>w</m:t>
            </m:r>
          </m:e>
          <m:sub>
            <m:r>
              <w:rPr>
                <w:rFonts w:ascii="Cambria Math" w:hAnsi="Cambria Math"/>
              </w:rPr>
              <m:t>q</m:t>
            </m:r>
          </m:sub>
        </m:sSub>
      </m:oMath>
      <w:r>
        <w:t xml:space="preserve"> the partial derivative of the survival function in the direction of </w:t>
      </w:r>
      <m:oMath>
        <m:sSub>
          <m:sSubPr>
            <m:ctrlPr>
              <w:rPr>
                <w:rFonts w:ascii="Cambria Math" w:hAnsi="Cambria Math"/>
              </w:rPr>
            </m:ctrlPr>
          </m:sSubPr>
          <m:e>
            <m:r>
              <w:rPr>
                <w:rFonts w:ascii="Cambria Math" w:hAnsi="Cambria Math"/>
              </w:rPr>
              <m:t>β</m:t>
            </m:r>
          </m:e>
          <m:sub>
            <m:r>
              <w:rPr>
                <w:rFonts w:ascii="Cambria Math" w:hAnsi="Cambria Math"/>
              </w:rPr>
              <m:t>q</m:t>
            </m:r>
          </m:sub>
        </m:sSub>
      </m:oMath>
      <w:r>
        <w:t xml:space="preserve"> for </w:t>
      </w:r>
      <m:oMath>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with:</w:t>
      </w:r>
    </w:p>
    <w:p w14:paraId="6739DF39" w14:textId="77777777" w:rsidR="00AC0E14"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t</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r>
                        <m:rPr>
                          <m:sty m:val="p"/>
                        </m:rPr>
                        <w:rPr>
                          <w:rFonts w:ascii="Cambria Math" w:hAnsi="Cambria Math"/>
                        </w:rPr>
                        <m:t>exp</m:t>
                      </m:r>
                    </m:e>
                  </m:nary>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den>
              </m:f>
            </m:e>
          </m:nary>
          <m:d>
            <m:dPr>
              <m:ctrlPr>
                <w:rPr>
                  <w:rFonts w:ascii="Cambria Math" w:hAnsi="Cambria Math"/>
                </w:rPr>
              </m:ctrlPr>
            </m:dPr>
            <m:e>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r>
                    <m:rPr>
                      <m:sty m:val="p"/>
                    </m:rPr>
                    <w:rPr>
                      <w:rFonts w:ascii="Cambria Math" w:hAnsi="Cambria Math"/>
                    </w:rPr>
                    <m:t>,</m:t>
                  </m:r>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new</m:t>
                  </m:r>
                  <m:r>
                    <m:rPr>
                      <m:sty m:val="p"/>
                    </m:rPr>
                    <w:rPr>
                      <w:rFonts w:ascii="Cambria Math" w:hAnsi="Cambria Math"/>
                    </w:rPr>
                    <m:t>,</m:t>
                  </m:r>
                  <m:r>
                    <w:rPr>
                      <w:rFonts w:ascii="Cambria Math" w:hAnsi="Cambria Math"/>
                    </w:rPr>
                    <m:t>q</m:t>
                  </m:r>
                </m:sub>
              </m:sSub>
            </m:e>
          </m:d>
        </m:oMath>
      </m:oMathPara>
    </w:p>
    <w:p w14:paraId="32356A8B" w14:textId="77777777" w:rsidR="00AC0E14" w:rsidRDefault="00000000">
      <w:pPr>
        <w:pStyle w:val="FirstParagraph"/>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r>
              <m:rPr>
                <m:sty m:val="p"/>
              </m:rPr>
              <w:rPr>
                <w:rFonts w:ascii="Cambria Math" w:hAnsi="Cambria Math"/>
              </w:rPr>
              <m:t>,</m:t>
            </m:r>
            <m:r>
              <w:rPr>
                <w:rFonts w:ascii="Cambria Math" w:hAnsi="Cambria Math"/>
              </w:rPr>
              <m:t>q</m:t>
            </m:r>
          </m:sub>
        </m:sSub>
      </m:oMath>
      <w:r>
        <w:t xml:space="preserve"> is the risk-weighted mean of the </w:t>
      </w:r>
      <m:oMath>
        <m:r>
          <w:rPr>
            <w:rFonts w:ascii="Cambria Math" w:hAnsi="Cambria Math"/>
          </w:rPr>
          <m:t>q</m:t>
        </m:r>
      </m:oMath>
      <w:r>
        <w:t xml:space="preserve">-th covariate in the risk set at time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r>
              <m:rPr>
                <m:sty m:val="p"/>
              </m:rPr>
              <w:rPr>
                <w:rFonts w:ascii="Cambria Math" w:hAnsi="Cambria Math"/>
              </w:rPr>
              <m:t>,</m:t>
            </m:r>
            <m:r>
              <w:rPr>
                <w:rFonts w:ascii="Cambria Math" w:hAnsi="Cambria Math"/>
              </w:rPr>
              <m:t>q</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e>
            </m:nary>
            <m:r>
              <m:rPr>
                <m:sty m:val="p"/>
              </m:rPr>
              <w:rPr>
                <w:rFonts w:ascii="Cambria Math" w:hAnsi="Cambria Math"/>
              </w:rPr>
              <m:t>exp</m:t>
            </m:r>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r>
                  <m:rPr>
                    <m:sty m:val="p"/>
                  </m:rPr>
                  <w:rPr>
                    <w:rFonts w:ascii="Cambria Math" w:hAnsi="Cambria Math"/>
                  </w:rPr>
                  <m:t>exp</m:t>
                </m:r>
              </m:e>
            </m:nary>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den>
        </m:f>
      </m:oMath>
      <w:r>
        <w:t xml:space="preserve">. Together, we have that the effective sample size for a Cox model prediction of a patient with covariate values </w:t>
      </w:r>
      <m:oMath>
        <m:sSub>
          <m:sSubPr>
            <m:ctrlPr>
              <w:rPr>
                <w:rFonts w:ascii="Cambria Math" w:hAnsi="Cambria Math"/>
              </w:rPr>
            </m:ctrlPr>
          </m:sSubPr>
          <m:e>
            <m:r>
              <m:rPr>
                <m:sty m:val="b"/>
              </m:rPr>
              <w:rPr>
                <w:rFonts w:ascii="Cambria Math" w:hAnsi="Cambria Math"/>
              </w:rPr>
              <m:t>x</m:t>
            </m:r>
          </m:e>
          <m:sub>
            <m:r>
              <m:rPr>
                <m:nor/>
              </m:rPr>
              <m:t>new</m:t>
            </m:r>
          </m:sub>
        </m:sSub>
      </m:oMath>
      <w:r>
        <w:t xml:space="preserve"> at time </w:t>
      </w:r>
      <m:oMath>
        <m:r>
          <w:rPr>
            <w:rFonts w:ascii="Cambria Math" w:hAnsi="Cambria Math"/>
          </w:rPr>
          <m:t>t</m:t>
        </m:r>
      </m:oMath>
      <w:r>
        <w:t xml:space="preserve"> is:</w:t>
      </w:r>
    </w:p>
    <w:p w14:paraId="4645325C" w14:textId="77777777" w:rsidR="00AC0E14"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new</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S</m:t>
                      </m:r>
                    </m:e>
                  </m:acc>
                </m:e>
                <m:sub>
                  <m:r>
                    <m:rPr>
                      <m:nor/>
                    </m:rPr>
                    <m:t>new</m:t>
                  </m:r>
                </m:sub>
              </m:sSub>
              <m:d>
                <m:dPr>
                  <m:ctrlPr>
                    <w:rPr>
                      <w:rFonts w:ascii="Cambria Math" w:hAnsi="Cambria Math"/>
                    </w:rPr>
                  </m:ctrlPr>
                </m:dPr>
                <m:e>
                  <m:r>
                    <w:rPr>
                      <w:rFonts w:ascii="Cambria Math" w:hAnsi="Cambria Math"/>
                    </w:rPr>
                    <m:t>t</m:t>
                  </m:r>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m:rPr>
                          <m:nor/>
                        </m:rPr>
                        <m:t>new</m:t>
                      </m:r>
                    </m:sub>
                  </m:sSub>
                  <m:d>
                    <m:dPr>
                      <m:ctrlPr>
                        <w:rPr>
                          <w:rFonts w:ascii="Cambria Math" w:hAnsi="Cambria Math"/>
                        </w:rPr>
                      </m:ctrlPr>
                    </m:dPr>
                    <m:e>
                      <m:r>
                        <w:rPr>
                          <w:rFonts w:ascii="Cambria Math" w:hAnsi="Cambria Math"/>
                        </w:rPr>
                        <m:t>t</m:t>
                      </m:r>
                    </m:e>
                  </m:d>
                </m:e>
              </m:d>
            </m:num>
            <m:den>
              <m:r>
                <m:rPr>
                  <m:sty m:val="p"/>
                </m:rPr>
                <w:rPr>
                  <w:rFonts w:ascii="Cambria Math" w:hAnsi="Cambria Math"/>
                </w:rPr>
                <m:t>exp</m:t>
              </m:r>
              <m:d>
                <m:dPr>
                  <m:ctrlPr>
                    <w:rPr>
                      <w:rFonts w:ascii="Cambria Math" w:hAnsi="Cambria Math"/>
                    </w:rPr>
                  </m:ctrlPr>
                </m:dPr>
                <m:e>
                  <m:r>
                    <w:rPr>
                      <w:rFonts w:ascii="Cambria Math" w:hAnsi="Cambria Math"/>
                    </w:rPr>
                    <m:t>2</m:t>
                  </m:r>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m:rPr>
                          <m:nor/>
                        </m:rPr>
                        <m:t>new</m:t>
                      </m:r>
                    </m:sub>
                  </m:sSub>
                </m:e>
              </m:d>
              <m:sSubSup>
                <m:sSubSupPr>
                  <m:ctrlPr>
                    <w:rPr>
                      <w:rFonts w:ascii="Cambria Math" w:hAnsi="Cambria Math"/>
                    </w:rPr>
                  </m:ctrlPr>
                </m:sSubSupPr>
                <m:e>
                  <m:acc>
                    <m:accPr>
                      <m:ctrlPr>
                        <w:rPr>
                          <w:rFonts w:ascii="Cambria Math" w:hAnsi="Cambria Math"/>
                        </w:rPr>
                      </m:ctrlPr>
                    </m:accPr>
                    <m:e>
                      <m:r>
                        <w:rPr>
                          <w:rFonts w:ascii="Cambria Math" w:hAnsi="Cambria Math"/>
                        </w:rPr>
                        <m:t>S</m:t>
                      </m:r>
                    </m:e>
                  </m:acc>
                </m:e>
                <m:sub>
                  <m:r>
                    <m:rPr>
                      <m:nor/>
                    </m:rPr>
                    <m:t>new</m:t>
                  </m:r>
                </m:sub>
                <m:sup>
                  <m:r>
                    <w:rPr>
                      <w:rFonts w:ascii="Cambria Math" w:hAnsi="Cambria Math"/>
                    </w:rPr>
                    <m:t>2</m:t>
                  </m:r>
                </m:sup>
              </m:sSubSup>
              <m:d>
                <m:dPr>
                  <m:ctrlPr>
                    <w:rPr>
                      <w:rFonts w:ascii="Cambria Math" w:hAnsi="Cambria Math"/>
                    </w:rPr>
                  </m:ctrlPr>
                </m:dPr>
                <m:e>
                  <m:r>
                    <w:rPr>
                      <w:rFonts w:ascii="Cambria Math" w:hAnsi="Cambria Math"/>
                    </w:rPr>
                    <m:t>t</m:t>
                  </m:r>
                </m:e>
              </m:d>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t</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r>
                                        <m:rPr>
                                          <m:sty m:val="p"/>
                                        </m:rPr>
                                        <w:rPr>
                                          <w:rFonts w:ascii="Cambria Math" w:hAnsi="Cambria Math"/>
                                        </w:rPr>
                                        <m:t>exp</m:t>
                                      </m:r>
                                    </m:e>
                                  </m:nary>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e>
                              </m:d>
                            </m:e>
                            <m:sup>
                              <m:r>
                                <w:rPr>
                                  <w:rFonts w:ascii="Cambria Math" w:hAnsi="Cambria Math"/>
                                </w:rPr>
                                <m:t>2</m:t>
                              </m:r>
                            </m:sup>
                          </m:sSup>
                        </m:den>
                      </m:f>
                    </m:e>
                  </m:nary>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I</m:t>
                  </m:r>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β</m:t>
                              </m:r>
                            </m:e>
                          </m:acc>
                        </m:e>
                      </m:d>
                    </m:e>
                    <m:sup>
                      <m:r>
                        <m:rPr>
                          <m:sty m:val="p"/>
                        </m:rPr>
                        <w:rPr>
                          <w:rFonts w:ascii="Cambria Math" w:hAnsi="Cambria Math"/>
                        </w:rPr>
                        <m:t>-</m:t>
                      </m:r>
                      <m:r>
                        <w:rPr>
                          <w:rFonts w:ascii="Cambria Math" w:hAnsi="Cambria Math"/>
                        </w:rPr>
                        <m:t>1</m:t>
                      </m:r>
                    </m:sup>
                  </m:sSup>
                  <m:r>
                    <w:rPr>
                      <w:rFonts w:ascii="Cambria Math" w:hAnsi="Cambria Math"/>
                    </w:rPr>
                    <m:t>w</m:t>
                  </m:r>
                </m:e>
              </m:d>
            </m:den>
          </m:f>
          <m:r>
            <m:rPr>
              <m:sty m:val="p"/>
            </m:rPr>
            <w:rPr>
              <w:rFonts w:ascii="Cambria Math" w:hAnsi="Cambria Math"/>
            </w:rPr>
            <m:t>.</m:t>
          </m:r>
        </m:oMath>
      </m:oMathPara>
    </w:p>
    <w:p w14:paraId="67A9C16C" w14:textId="77777777" w:rsidR="00AC0E14" w:rsidRDefault="00000000">
      <w:r>
        <w:br w:type="page"/>
      </w:r>
    </w:p>
    <w:p w14:paraId="766E2971" w14:textId="77777777" w:rsidR="00AC0E14" w:rsidRDefault="00000000">
      <w:pPr>
        <w:pStyle w:val="Heading1"/>
      </w:pPr>
      <w:bookmarkStart w:id="4" w:name="X6c35d2a87a84af3ae2aff2856c09e3b795a2888"/>
      <w:bookmarkStart w:id="5" w:name="_Toc244093839"/>
      <w:bookmarkEnd w:id="2"/>
      <w:r>
        <w:lastRenderedPageBreak/>
        <w:t>Supplement 3: Efficiency of the Breslow estimator compared to the Nelson-Aalen estimator</w:t>
      </w:r>
      <w:bookmarkEnd w:id="5"/>
    </w:p>
    <w:p w14:paraId="7B38D2C0" w14:textId="77777777" w:rsidR="00AC0E14" w:rsidRDefault="00000000">
      <w:pPr>
        <w:pStyle w:val="FirstParagraph"/>
      </w:pPr>
      <w:r>
        <w:t xml:space="preserve">To understand why the effective sample size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can exceed the development sample size </w:t>
      </w:r>
      <m:oMath>
        <m:r>
          <w:rPr>
            <w:rFonts w:ascii="Cambria Math" w:hAnsi="Cambria Math"/>
          </w:rPr>
          <m:t>N</m:t>
        </m:r>
      </m:oMath>
      <w:r>
        <w:t>, we compare the variance of the hazard increments in a non-parametric setting with the variance in the Cox proportional hazards setting.</w:t>
      </w:r>
    </w:p>
    <w:p w14:paraId="4DFA15F2" w14:textId="77777777" w:rsidR="00AC0E14" w:rsidRDefault="00000000">
      <w:pPr>
        <w:pStyle w:val="BodyText"/>
      </w:pPr>
      <w:r>
        <w:t xml:space="preserve">In the absence of covariates, the Nelson-Aalen estimator for the cumulative hazard is </w:t>
      </w:r>
      <m:oMath>
        <m:acc>
          <m:accPr>
            <m:ctrlPr>
              <w:rPr>
                <w:rFonts w:ascii="Cambria Math" w:hAnsi="Cambria Math"/>
              </w:rPr>
            </m:ctrlPr>
          </m:accPr>
          <m:e>
            <m:r>
              <w:rPr>
                <w:rFonts w:ascii="Cambria Math" w:hAnsi="Cambria Math"/>
              </w:rPr>
              <m:t>H</m:t>
            </m:r>
          </m:e>
        </m:acc>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t</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den>
            </m:f>
          </m:e>
        </m:nary>
      </m:oMath>
      <w:r>
        <w:t xml:space="preserve">. The variance of a single hazard increment at event time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is:</w:t>
      </w:r>
    </w:p>
    <w:p w14:paraId="0E28CB0B" w14:textId="77777777" w:rsidR="00AC0E14" w:rsidRDefault="00000000">
      <w:pPr>
        <w:pStyle w:val="BodyText"/>
      </w:pPr>
      <m:oMathPara>
        <m:oMathParaPr>
          <m:jc m:val="center"/>
        </m:oMathParaPr>
        <m:oMath>
          <m:r>
            <w:rPr>
              <w:rFonts w:ascii="Cambria Math" w:hAnsi="Cambria Math"/>
            </w:rPr>
            <m:t>Var</m:t>
          </m:r>
          <m:d>
            <m:dPr>
              <m:ctrlPr>
                <w:rPr>
                  <w:rFonts w:ascii="Cambria Math" w:hAnsi="Cambria Math"/>
                </w:rPr>
              </m:ctrlPr>
            </m:dPr>
            <m:e>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NA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sSubSup>
                <m:sSubSupPr>
                  <m:ctrlPr>
                    <w:rPr>
                      <w:rFonts w:ascii="Cambria Math" w:hAnsi="Cambria Math"/>
                    </w:rPr>
                  </m:ctrlPr>
                </m:sSubSupPr>
                <m:e>
                  <m:r>
                    <w:rPr>
                      <w:rFonts w:ascii="Cambria Math" w:hAnsi="Cambria Math"/>
                    </w:rPr>
                    <m:t>n</m:t>
                  </m:r>
                </m:e>
                <m:sub>
                  <m:r>
                    <w:rPr>
                      <w:rFonts w:ascii="Cambria Math" w:hAnsi="Cambria Math"/>
                    </w:rPr>
                    <m:t>j</m:t>
                  </m:r>
                </m:sub>
                <m:sup>
                  <m:r>
                    <w:rPr>
                      <w:rFonts w:ascii="Cambria Math" w:hAnsi="Cambria Math"/>
                    </w:rPr>
                    <m:t>2</m:t>
                  </m:r>
                </m:sup>
              </m:sSubSup>
            </m:den>
          </m:f>
        </m:oMath>
      </m:oMathPara>
    </w:p>
    <w:p w14:paraId="4E022E93" w14:textId="77777777" w:rsidR="00AC0E14" w:rsidRDefault="00000000">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is the number of events and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is the number of individuals in the risk set </w:t>
      </w:r>
      <m:oMath>
        <m:sSub>
          <m:sSubPr>
            <m:ctrlPr>
              <w:rPr>
                <w:rFonts w:ascii="Cambria Math" w:hAnsi="Cambria Math"/>
              </w:rPr>
            </m:ctrlPr>
          </m:sSubPr>
          <m:e>
            <m:r>
              <w:rPr>
                <w:rFonts w:ascii="Cambria Math" w:hAnsi="Cambria Math"/>
              </w:rPr>
              <m:t>R</m:t>
            </m:r>
          </m:e>
          <m:sub>
            <m:r>
              <w:rPr>
                <w:rFonts w:ascii="Cambria Math" w:hAnsi="Cambria Math"/>
              </w:rPr>
              <m:t>j</m:t>
            </m:r>
          </m:sub>
        </m:sSub>
      </m:oMath>
      <w:r>
        <w:t>.</w:t>
      </w:r>
    </w:p>
    <w:p w14:paraId="44C1A57A" w14:textId="77777777" w:rsidR="00AC0E14" w:rsidRDefault="00000000">
      <w:pPr>
        <w:pStyle w:val="BodyText"/>
      </w:pPr>
      <w:r>
        <w:t xml:space="preserve">In the Cox model, the predicted hazard increment for a new patient with covariate profile </w:t>
      </w:r>
      <m:oMath>
        <m:sSub>
          <m:sSubPr>
            <m:ctrlPr>
              <w:rPr>
                <w:rFonts w:ascii="Cambria Math" w:hAnsi="Cambria Math"/>
              </w:rPr>
            </m:ctrlPr>
          </m:sSubPr>
          <m:e>
            <m:r>
              <m:rPr>
                <m:sty m:val="b"/>
              </m:rPr>
              <w:rPr>
                <w:rFonts w:ascii="Cambria Math" w:hAnsi="Cambria Math"/>
              </w:rPr>
              <m:t>x</m:t>
            </m:r>
          </m:e>
          <m:sub>
            <m:r>
              <w:rPr>
                <w:rFonts w:ascii="Cambria Math" w:hAnsi="Cambria Math"/>
              </w:rPr>
              <m:t>new</m:t>
            </m:r>
          </m:sub>
        </m:sSub>
      </m:oMath>
      <w:r>
        <w:t xml:space="preserve"> is </w:t>
      </w:r>
      <m:oMath>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new</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r>
          <m:rPr>
            <m:sty m:val="p"/>
          </m:rPr>
          <w:rPr>
            <w:rFonts w:ascii="Cambria Math" w:hAnsi="Cambria Math"/>
          </w:rPr>
          <m:t>=</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sSup>
          <m:sSupPr>
            <m:ctrlPr>
              <w:rPr>
                <w:rFonts w:ascii="Cambria Math" w:hAnsi="Cambria Math"/>
              </w:rPr>
            </m:ctrlPr>
          </m:sSupPr>
          <m:e>
            <m:r>
              <w:rPr>
                <w:rFonts w:ascii="Cambria Math" w:hAnsi="Cambria Math"/>
              </w:rPr>
              <m:t>e</m:t>
            </m:r>
          </m:e>
          <m:sup>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new</m:t>
                </m:r>
              </m:sub>
            </m:sSub>
          </m:sup>
        </m:sSup>
      </m:oMath>
      <w:r>
        <w:t xml:space="preserve">. When we only consider the variance component from the baseline hazard (treating </w:t>
      </w:r>
      <m:oMath>
        <m:r>
          <w:rPr>
            <w:rFonts w:ascii="Cambria Math" w:hAnsi="Cambria Math"/>
          </w:rPr>
          <m:t>β</m:t>
        </m:r>
      </m:oMath>
      <w:r>
        <w:t xml:space="preserve"> as fixed), the variance is:</w:t>
      </w:r>
    </w:p>
    <w:p w14:paraId="53F61E9F" w14:textId="77777777" w:rsidR="00AC0E14" w:rsidRDefault="00000000">
      <w:pPr>
        <w:pStyle w:val="BodyText"/>
      </w:pPr>
      <m:oMathPara>
        <m:oMathParaPr>
          <m:jc m:val="center"/>
        </m:oMathParaPr>
        <m:oMath>
          <m:r>
            <w:rPr>
              <w:rFonts w:ascii="Cambria Math" w:hAnsi="Cambria Math"/>
            </w:rPr>
            <m:t>Var</m:t>
          </m:r>
          <m:d>
            <m:dPr>
              <m:ctrlPr>
                <w:rPr>
                  <w:rFonts w:ascii="Cambria Math" w:hAnsi="Cambria Math"/>
                </w:rPr>
              </m:ctrlPr>
            </m:dPr>
            <m:e>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new</m:t>
                      </m:r>
                    </m:sub>
                  </m:sSub>
                </m:sup>
              </m:sSup>
              <m:r>
                <m:rPr>
                  <m:sty m:val="p"/>
                </m:rPr>
                <w:rPr>
                  <w:rFonts w:ascii="Cambria Math" w:hAnsi="Cambria Math"/>
                </w:rPr>
                <m:t>∣</m:t>
              </m:r>
              <m:r>
                <w:rPr>
                  <w:rFonts w:ascii="Cambria Math" w:hAnsi="Cambria Math"/>
                </w:rPr>
                <m:t>β</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new</m:t>
                          </m:r>
                        </m:sub>
                      </m:sSub>
                    </m:sup>
                  </m:sSup>
                </m:e>
              </m:d>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sup>
                          </m:sSup>
                        </m:e>
                      </m:nary>
                    </m:e>
                  </m:d>
                </m:e>
                <m:sup>
                  <m:r>
                    <w:rPr>
                      <w:rFonts w:ascii="Cambria Math" w:hAnsi="Cambria Math"/>
                    </w:rPr>
                    <m:t>2</m:t>
                  </m:r>
                </m:sup>
              </m:sSup>
            </m:den>
          </m:f>
        </m:oMath>
      </m:oMathPara>
    </w:p>
    <w:p w14:paraId="2401A9C8" w14:textId="77777777" w:rsidR="00AC0E14" w:rsidRDefault="00000000">
      <w:pPr>
        <w:pStyle w:val="FirstParagraph"/>
      </w:pPr>
      <w:r>
        <w:t xml:space="preserve">The Cox model provides a more precise estimate (lower variance) than the Nelson-Aalen estimator at time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when:</w:t>
      </w:r>
    </w:p>
    <w:p w14:paraId="6EDB2656" w14:textId="77777777" w:rsidR="00AC0E14"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new</m:t>
                          </m:r>
                        </m:sub>
                      </m:sSub>
                    </m:sup>
                  </m:sSup>
                </m:e>
              </m:d>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sup>
                          </m:sSup>
                        </m:e>
                      </m:nary>
                    </m:e>
                  </m:d>
                </m:e>
                <m:sup>
                  <m:r>
                    <w:rPr>
                      <w:rFonts w:ascii="Cambria Math" w:hAnsi="Cambria Math"/>
                    </w:rPr>
                    <m:t>2</m:t>
                  </m:r>
                </m:sup>
              </m:sSup>
            </m:den>
          </m:f>
          <m:r>
            <m:rPr>
              <m:sty m:val="p"/>
            </m:rPr>
            <w:rPr>
              <w:rFonts w:ascii="Cambria Math" w:hAnsi="Cambria Math"/>
            </w:rPr>
            <m:t>&lt;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sSubSup>
                <m:sSubSupPr>
                  <m:ctrlPr>
                    <w:rPr>
                      <w:rFonts w:ascii="Cambria Math" w:hAnsi="Cambria Math"/>
                    </w:rPr>
                  </m:ctrlPr>
                </m:sSubSupPr>
                <m:e>
                  <m:r>
                    <w:rPr>
                      <w:rFonts w:ascii="Cambria Math" w:hAnsi="Cambria Math"/>
                    </w:rPr>
                    <m:t>n</m:t>
                  </m:r>
                </m:e>
                <m:sub>
                  <m:r>
                    <w:rPr>
                      <w:rFonts w:ascii="Cambria Math" w:hAnsi="Cambria Math"/>
                    </w:rPr>
                    <m:t>j</m:t>
                  </m:r>
                </m:sub>
                <m:sup>
                  <m:r>
                    <w:rPr>
                      <w:rFonts w:ascii="Cambria Math" w:hAnsi="Cambria Math"/>
                    </w:rPr>
                    <m:t>2</m:t>
                  </m:r>
                </m:sup>
              </m:sSubSup>
            </m:den>
          </m:f>
        </m:oMath>
      </m:oMathPara>
    </w:p>
    <w:p w14:paraId="685A926C" w14:textId="77777777" w:rsidR="00AC0E14" w:rsidRDefault="00000000">
      <w:pPr>
        <w:pStyle w:val="FirstParagraph"/>
      </w:pPr>
      <w:r>
        <w:t>Taking the square root and rearranging, this simplifies to:</w:t>
      </w:r>
    </w:p>
    <w:p w14:paraId="75B029B3" w14:textId="77777777" w:rsidR="00AC0E14" w:rsidRDefault="00000000">
      <w:pPr>
        <w:pStyle w:val="BodyText"/>
      </w:pPr>
      <m:oMathPara>
        <m:oMathParaPr>
          <m:jc m:val="center"/>
        </m:oMathParaPr>
        <m:oMath>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new</m:t>
                  </m:r>
                </m:sub>
              </m:sSub>
            </m:sup>
          </m:sSup>
          <m:r>
            <m:rPr>
              <m:sty m:val="p"/>
            </m:rPr>
            <w:rPr>
              <w:rFonts w:ascii="Cambria Math" w:hAnsi="Cambria Math"/>
            </w:rPr>
            <m:t>&lt;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sup>
                  </m:sSup>
                </m:e>
              </m:nary>
            </m:num>
            <m:den>
              <m:sSub>
                <m:sSubPr>
                  <m:ctrlPr>
                    <w:rPr>
                      <w:rFonts w:ascii="Cambria Math" w:hAnsi="Cambria Math"/>
                    </w:rPr>
                  </m:ctrlPr>
                </m:sSubPr>
                <m:e>
                  <m:r>
                    <w:rPr>
                      <w:rFonts w:ascii="Cambria Math" w:hAnsi="Cambria Math"/>
                    </w:rPr>
                    <m:t>n</m:t>
                  </m:r>
                </m:e>
                <m:sub>
                  <m:r>
                    <w:rPr>
                      <w:rFonts w:ascii="Cambria Math" w:hAnsi="Cambria Math"/>
                    </w:rPr>
                    <m:t>j</m:t>
                  </m:r>
                </m:sub>
              </m:sSub>
            </m:den>
          </m:f>
        </m:oMath>
      </m:oMathPara>
    </w:p>
    <w:p w14:paraId="023CAA86" w14:textId="77777777" w:rsidR="00AC0E14" w:rsidRDefault="00000000">
      <w:pPr>
        <w:pStyle w:val="FirstParagraph"/>
      </w:pPr>
      <w:r>
        <w:t xml:space="preserve">This inequality shows that the Cox model yields a lower prediction variance whenever the risk score of the new patient, </w:t>
      </w:r>
      <m:oMath>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new</m:t>
                </m:r>
              </m:sub>
            </m:sSub>
          </m:sup>
        </m:sSup>
      </m:oMath>
      <w:r>
        <w:t xml:space="preserve">, is lower than the arithmetic mean of the risk scores in the risk set </w:t>
      </w:r>
      <m:oMath>
        <m:sSub>
          <m:sSubPr>
            <m:ctrlPr>
              <w:rPr>
                <w:rFonts w:ascii="Cambria Math" w:hAnsi="Cambria Math"/>
              </w:rPr>
            </m:ctrlPr>
          </m:sSubPr>
          <m:e>
            <m:r>
              <w:rPr>
                <w:rFonts w:ascii="Cambria Math" w:hAnsi="Cambria Math"/>
              </w:rPr>
              <m:t>R</m:t>
            </m:r>
          </m:e>
          <m:sub>
            <m:r>
              <w:rPr>
                <w:rFonts w:ascii="Cambria Math" w:hAnsi="Cambria Math"/>
              </w:rPr>
              <m:t>j</m:t>
            </m:r>
          </m:sub>
        </m:sSub>
      </m:oMath>
      <w:r>
        <w:t>.</w:t>
      </w:r>
    </w:p>
    <w:p w14:paraId="6C6678C5" w14:textId="77777777" w:rsidR="00AC0E14" w:rsidRDefault="00000000">
      <w:pPr>
        <w:pStyle w:val="BodyText"/>
      </w:pPr>
      <w:r>
        <w:t xml:space="preserve">The efficiency of the Cox model relates to the proportional hazards assumption, which allows the model to use the entire follow-up of the cohort to estimate </w:t>
      </w:r>
      <m:oMath>
        <m:r>
          <w:rPr>
            <w:rFonts w:ascii="Cambria Math" w:hAnsi="Cambria Math"/>
          </w:rPr>
          <m:t>β</m:t>
        </m:r>
      </m:oMath>
      <w:r>
        <w:t xml:space="preserve">. While the Nelson-Aalen estimator treats all individuals at risk as identical units, the Breslow estimator of the cumulative hazard uses their prognostic heterogeneity. For patients with a risk score below the average of the risk set, this weighting reduces the noise in the baseline hazard </w:t>
      </w:r>
      <w:r>
        <w:lastRenderedPageBreak/>
        <w:t xml:space="preserve">estimate. The variance is then lower than that of a binomial experiment, which results in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&gt;</m:t>
        </m:r>
        <m:r>
          <w:rPr>
            <w:rFonts w:ascii="Cambria Math" w:hAnsi="Cambria Math"/>
          </w:rPr>
          <m:t>N</m:t>
        </m:r>
      </m:oMath>
      <w:r>
        <w:t>.</w:t>
      </w:r>
    </w:p>
    <w:p w14:paraId="32341036" w14:textId="77777777" w:rsidR="00AC0E14" w:rsidRDefault="00000000">
      <w:r>
        <w:br w:type="page"/>
      </w:r>
    </w:p>
    <w:p w14:paraId="125EAEBA" w14:textId="77777777" w:rsidR="00AC0E14" w:rsidRDefault="00000000">
      <w:pPr>
        <w:pStyle w:val="Heading1"/>
      </w:pPr>
      <w:bookmarkStart w:id="6" w:name="X921133c109fef231979d30ac0f388983fe87787"/>
      <w:bookmarkStart w:id="7" w:name="_Toc244093840"/>
      <w:bookmarkEnd w:id="4"/>
      <w:r>
        <w:lastRenderedPageBreak/>
        <w:t>Supplement 4: Distribution of predictors in case study</w:t>
      </w:r>
      <w:bookmarkEnd w:id="7"/>
    </w:p>
    <w:p w14:paraId="5561D782" w14:textId="77777777" w:rsidR="00AC0E14" w:rsidRDefault="00000000">
      <w:pPr>
        <w:pStyle w:val="FirstParagraph"/>
      </w:pPr>
      <w:r>
        <w:t xml:space="preserve">In the colon data, the first predictor was the </w:t>
      </w:r>
      <w:r>
        <w:rPr>
          <w:rStyle w:val="VerbatimChar"/>
        </w:rPr>
        <w:t>adhere</w:t>
      </w:r>
      <w:r>
        <w:t xml:space="preserve"> variable, a dichotomous indicator for adherence of the tumor to nearby organs (positive in 135 of 929 patients). The second predictor was </w:t>
      </w:r>
      <w:r>
        <w:rPr>
          <w:rStyle w:val="VerbatimChar"/>
        </w:rPr>
        <w:t>rx</w:t>
      </w:r>
      <w:r>
        <w:t xml:space="preserve">, a three-level categorical variable of the three treatment arms of the randomized clinical trial. The third predictor was </w:t>
      </w:r>
      <w:r>
        <w:rPr>
          <w:rStyle w:val="VerbatimChar"/>
        </w:rPr>
        <w:t>age</w:t>
      </w:r>
      <w:r>
        <w:t xml:space="preserve">, a continuous variable. The mean age was 60 years with a standard deviation of 12 years, and the age distribution was left-skewed. Finally, the fourth predictor, </w:t>
      </w:r>
      <w:r>
        <w:rPr>
          <w:rStyle w:val="VerbatimChar"/>
        </w:rPr>
        <w:t>nodes</w:t>
      </w:r>
      <w:r>
        <w:t>, was a heavily right-skewed variable (median 2 nodes, range 0 to 33) with 18 missing values, which were imputed once for the models with the number of nodes.</w:t>
      </w:r>
    </w:p>
    <w:p w14:paraId="25956A13" w14:textId="77777777" w:rsidR="00AC0E14" w:rsidRDefault="00000000">
      <w:pPr>
        <w:pStyle w:val="CaptionedFigure"/>
      </w:pPr>
      <w:r>
        <w:rPr>
          <w:noProof/>
        </w:rPr>
        <w:drawing>
          <wp:inline distT="0" distB="0" distL="0" distR="0" wp14:anchorId="2F072418" wp14:editId="40007300">
            <wp:extent cx="5334000" cy="3810000"/>
            <wp:effectExtent l="0" t="0" r="0" b="0"/>
            <wp:docPr id="24" name="Picture" descr="Figure S4.1. Distribution of the four prognostic factors in the colon data."/>
            <wp:cNvGraphicFramePr/>
            <a:graphic xmlns:a="http://schemas.openxmlformats.org/drawingml/2006/main">
              <a:graphicData uri="http://schemas.openxmlformats.org/drawingml/2006/picture">
                <pic:pic xmlns:pic="http://schemas.openxmlformats.org/drawingml/2006/picture">
                  <pic:nvPicPr>
                    <pic:cNvPr id="25" name="Picture" descr="supplement_files/figure-docx/s4-fig-1.png"/>
                    <pic:cNvPicPr>
                      <a:picLocks noChangeAspect="1" noChangeArrowheads="1"/>
                    </pic:cNvPicPr>
                  </pic:nvPicPr>
                  <pic:blipFill>
                    <a:blip r:embed="rId7"/>
                    <a:stretch>
                      <a:fillRect/>
                    </a:stretch>
                  </pic:blipFill>
                  <pic:spPr bwMode="auto">
                    <a:xfrm>
                      <a:off x="0" y="0"/>
                      <a:ext cx="5334000" cy="3810000"/>
                    </a:xfrm>
                    <a:prstGeom prst="rect">
                      <a:avLst/>
                    </a:prstGeom>
                    <a:noFill/>
                    <a:ln w="9525">
                      <a:noFill/>
                      <a:headEnd/>
                      <a:tailEnd/>
                    </a:ln>
                  </pic:spPr>
                </pic:pic>
              </a:graphicData>
            </a:graphic>
          </wp:inline>
        </w:drawing>
      </w:r>
    </w:p>
    <w:p w14:paraId="70131831" w14:textId="77777777" w:rsidR="00AC0E14" w:rsidRDefault="00000000">
      <w:pPr>
        <w:pStyle w:val="ImageCaption"/>
      </w:pPr>
      <w:r>
        <w:t>Figure S4.1. Distribution of the four prognostic factors in the colon data.</w:t>
      </w:r>
    </w:p>
    <w:p w14:paraId="2793FFF8" w14:textId="77777777" w:rsidR="00AC0E14" w:rsidRDefault="00000000">
      <w:r>
        <w:br w:type="page"/>
      </w:r>
    </w:p>
    <w:p w14:paraId="73CFA3C8" w14:textId="77777777" w:rsidR="00AC0E14" w:rsidRDefault="00000000">
      <w:pPr>
        <w:pStyle w:val="Heading1"/>
      </w:pPr>
      <w:bookmarkStart w:id="8" w:name="X53e424315317add321d22e7632e6e5eed911a13"/>
      <w:bookmarkStart w:id="9" w:name="_Toc244093841"/>
      <w:bookmarkEnd w:id="6"/>
      <w:r>
        <w:lastRenderedPageBreak/>
        <w:t>Supplement 5: The Cox model has a narrower 95% confidence interval than Kaplan-Meier</w:t>
      </w:r>
      <w:bookmarkEnd w:id="9"/>
    </w:p>
    <w:p w14:paraId="7FCB35ED" w14:textId="77777777" w:rsidR="00AC0E14" w:rsidRDefault="00000000">
      <w:pPr>
        <w:pStyle w:val="FirstParagraph"/>
      </w:pPr>
      <w:r>
        <w:t>The effective sample size of a prediction from a univariable Cox model based on treatment is higher than that of the Kaplan-Meier curve for the same treatment group, especially early in follow-up. This suggests that the Cox model prediction is more certain, which should show in a narrower 95% confidence interval. Indeed, when we compared the prediction of a patient receiving ‘Lev+5FU’ from the Cox model based on treatment to the Kaplan-Meier curve of this treatment group (Figure S5.1), the 95% confidence interval of the Cox model prediction was narrower than that of the Kaplan-Meier curve, especially early in follow-up. This was consistent with the higher effective sample size of the Cox model prediction.</w:t>
      </w:r>
    </w:p>
    <w:p w14:paraId="31E0B21F" w14:textId="77777777" w:rsidR="00AC0E14" w:rsidRDefault="00000000">
      <w:pPr>
        <w:pStyle w:val="CaptionedFigure"/>
      </w:pPr>
      <w:r>
        <w:rPr>
          <w:noProof/>
        </w:rPr>
        <w:drawing>
          <wp:inline distT="0" distB="0" distL="0" distR="0" wp14:anchorId="6C48AF5F" wp14:editId="3B7CD0B0">
            <wp:extent cx="5334000" cy="3429000"/>
            <wp:effectExtent l="0" t="0" r="0" b="0"/>
            <wp:docPr id="28" name="Picture" descr="Figure S5.1. Survival prediction and 95% confidence interval of a patient treated with Lev+5FU, from a Cox model based on treatment (purple) and from the Kaplan-Meier estimate of the Lev+5FU group (red). The arrows show the width of the confidence interval at 1.6 years (Cox) and 1.5 years (Kaplan-Meier)."/>
            <wp:cNvGraphicFramePr/>
            <a:graphic xmlns:a="http://schemas.openxmlformats.org/drawingml/2006/main">
              <a:graphicData uri="http://schemas.openxmlformats.org/drawingml/2006/picture">
                <pic:pic xmlns:pic="http://schemas.openxmlformats.org/drawingml/2006/picture">
                  <pic:nvPicPr>
                    <pic:cNvPr id="29" name="Picture" descr="supplement_files/figure-docx/s5-fig-1.png"/>
                    <pic:cNvPicPr>
                      <a:picLocks noChangeAspect="1" noChangeArrowheads="1"/>
                    </pic:cNvPicPr>
                  </pic:nvPicPr>
                  <pic:blipFill>
                    <a:blip r:embed="rId8"/>
                    <a:stretch>
                      <a:fillRect/>
                    </a:stretch>
                  </pic:blipFill>
                  <pic:spPr bwMode="auto">
                    <a:xfrm>
                      <a:off x="0" y="0"/>
                      <a:ext cx="5334000" cy="3429000"/>
                    </a:xfrm>
                    <a:prstGeom prst="rect">
                      <a:avLst/>
                    </a:prstGeom>
                    <a:noFill/>
                    <a:ln w="9525">
                      <a:noFill/>
                      <a:headEnd/>
                      <a:tailEnd/>
                    </a:ln>
                  </pic:spPr>
                </pic:pic>
              </a:graphicData>
            </a:graphic>
          </wp:inline>
        </w:drawing>
      </w:r>
    </w:p>
    <w:p w14:paraId="141E0DD4" w14:textId="77777777" w:rsidR="00AC0E14" w:rsidRDefault="00000000">
      <w:pPr>
        <w:pStyle w:val="ImageCaption"/>
      </w:pPr>
      <w:r>
        <w:t>Figure S5.1. Survival prediction and 95% confidence interval of a patient treated with Lev+5FU, from a Cox model based on treatment (purple) and from the Kaplan-Meier estimate of the Lev+5FU group (red). The arrows show the width of the confidence interval at 1.6 years (Cox) and 1.5 years (Kaplan-Meier).</w:t>
      </w:r>
    </w:p>
    <w:p w14:paraId="60054B31" w14:textId="77777777" w:rsidR="00AC0E14" w:rsidRDefault="00000000">
      <w:r>
        <w:br w:type="page"/>
      </w:r>
    </w:p>
    <w:p w14:paraId="46227416" w14:textId="77777777" w:rsidR="00AC0E14" w:rsidRDefault="00000000">
      <w:pPr>
        <w:pStyle w:val="Heading1"/>
      </w:pPr>
      <w:bookmarkStart w:id="10" w:name="X32b9559e083cde4cefec26cd2d59eefc3937d28"/>
      <w:bookmarkStart w:id="11" w:name="_Toc244093842"/>
      <w:bookmarkEnd w:id="8"/>
      <w:r>
        <w:lastRenderedPageBreak/>
        <w:t>Supplement 6: Effective sample size in real-world datasets</w:t>
      </w:r>
      <w:bookmarkEnd w:id="11"/>
    </w:p>
    <w:p w14:paraId="32CC4F4D" w14:textId="77777777" w:rsidR="00AC0E14" w:rsidRDefault="00000000">
      <w:pPr>
        <w:pStyle w:val="FirstParagraph"/>
      </w:pPr>
      <w:r>
        <w:t>We aimed to assess how common the behavior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as observed in the colon cancer data occurs. We hereto computed effective sample sizes for Cox models in eight open datasets of the survival package: colon, pbc, veteran, lung, rotterdam, gbsg, flchain and mgus2. For each dataset we pre-specified a set of candidate predictors and fitted a Cox model. Skewed positive biomarkers were log-transformed. The final model was obtained by backward elimination based on the AIC. The model-based variance estimate ignored the selection step, so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was conditional on the selected model. For every patient in the development data, we calculated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at the times at which 1%, 10%, 25%, 40%, 60%, 75% and 90% of all events had occurred. Because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depended on the absolute development sample size, we reported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r>
          <w:rPr>
            <w:rFonts w:ascii="Cambria Math" w:hAnsi="Cambria Math"/>
          </w:rPr>
          <m:t>N</m:t>
        </m:r>
      </m:oMath>
      <w:r>
        <w:t>. Table S6.1 shows descriptives of the datasets. The number of complete cases ranged from 137 for the Veterans’ lung cancer data set to 6,521 for the Serum free light chain data set. The number of events exceeded 100 for all data sets, fulfilling a minimum requirement for model development</w:t>
      </w:r>
      <w:r>
        <w:rPr>
          <w:vertAlign w:val="superscript"/>
        </w:rPr>
        <w:t>2</w:t>
      </w:r>
      <w:r>
        <w:t>. The final models had between 4 and 11 predictors and an apparent c statistic between 0.66 and 0.86.</w:t>
      </w:r>
    </w:p>
    <w:p w14:paraId="630B189C" w14:textId="77777777" w:rsidR="00AC0E14" w:rsidRDefault="00000000">
      <w:pPr>
        <w:pStyle w:val="TableCaption"/>
      </w:pPr>
      <w:r>
        <w:t>Table S6.1. Datasets and backward-selected Cox models. Harrell’s C is apparent (development data) and covers the full follow-up.</w:t>
      </w:r>
    </w:p>
    <w:tbl>
      <w:tblPr>
        <w:tblStyle w:val="Table"/>
        <w:tblW w:w="0" w:type="auto"/>
        <w:tblLook w:val="0020" w:firstRow="1" w:lastRow="0" w:firstColumn="0" w:lastColumn="0" w:noHBand="0" w:noVBand="0"/>
      </w:tblPr>
      <w:tblGrid>
        <w:gridCol w:w="2452"/>
        <w:gridCol w:w="1601"/>
        <w:gridCol w:w="1713"/>
        <w:gridCol w:w="911"/>
        <w:gridCol w:w="1641"/>
        <w:gridCol w:w="1258"/>
      </w:tblGrid>
      <w:tr w:rsidR="00AC0E14" w14:paraId="275B72A0" w14:textId="77777777" w:rsidTr="00AC0E14">
        <w:trPr>
          <w:cnfStyle w:val="100000000000" w:firstRow="1" w:lastRow="0" w:firstColumn="0" w:lastColumn="0" w:oddVBand="0" w:evenVBand="0" w:oddHBand="0" w:evenHBand="0" w:firstRowFirstColumn="0" w:firstRowLastColumn="0" w:lastRowFirstColumn="0" w:lastRowLastColumn="0"/>
          <w:tblHeader/>
        </w:trPr>
        <w:tc>
          <w:tcPr>
            <w:tcW w:w="0" w:type="auto"/>
          </w:tcPr>
          <w:p w14:paraId="3BBBF822" w14:textId="77777777" w:rsidR="00AC0E14" w:rsidRDefault="00000000">
            <w:pPr>
              <w:pStyle w:val="Compact"/>
            </w:pPr>
            <w:r>
              <w:t>Dataset</w:t>
            </w:r>
          </w:p>
        </w:tc>
        <w:tc>
          <w:tcPr>
            <w:tcW w:w="0" w:type="auto"/>
          </w:tcPr>
          <w:p w14:paraId="352AF390" w14:textId="77777777" w:rsidR="00AC0E14" w:rsidRDefault="00000000">
            <w:pPr>
              <w:pStyle w:val="Compact"/>
              <w:jc w:val="right"/>
            </w:pPr>
            <w:r>
              <w:t>Patients in data</w:t>
            </w:r>
          </w:p>
        </w:tc>
        <w:tc>
          <w:tcPr>
            <w:tcW w:w="0" w:type="auto"/>
          </w:tcPr>
          <w:p w14:paraId="4BCEB287" w14:textId="77777777" w:rsidR="00AC0E14" w:rsidRDefault="00000000">
            <w:pPr>
              <w:pStyle w:val="Compact"/>
              <w:jc w:val="right"/>
            </w:pPr>
            <w:r>
              <w:t>Complete cases</w:t>
            </w:r>
          </w:p>
        </w:tc>
        <w:tc>
          <w:tcPr>
            <w:tcW w:w="0" w:type="auto"/>
          </w:tcPr>
          <w:p w14:paraId="53A3CF5E" w14:textId="77777777" w:rsidR="00AC0E14" w:rsidRDefault="00000000">
            <w:pPr>
              <w:pStyle w:val="Compact"/>
              <w:jc w:val="right"/>
            </w:pPr>
            <w:r>
              <w:t>Events</w:t>
            </w:r>
          </w:p>
        </w:tc>
        <w:tc>
          <w:tcPr>
            <w:tcW w:w="0" w:type="auto"/>
          </w:tcPr>
          <w:p w14:paraId="4E571952" w14:textId="77777777" w:rsidR="00AC0E14" w:rsidRDefault="00000000">
            <w:pPr>
              <w:pStyle w:val="Compact"/>
              <w:jc w:val="right"/>
            </w:pPr>
            <w:r>
              <w:t>Predictors kept</w:t>
            </w:r>
          </w:p>
        </w:tc>
        <w:tc>
          <w:tcPr>
            <w:tcW w:w="0" w:type="auto"/>
          </w:tcPr>
          <w:p w14:paraId="7E734643" w14:textId="77777777" w:rsidR="00AC0E14" w:rsidRDefault="00000000">
            <w:pPr>
              <w:pStyle w:val="Compact"/>
              <w:jc w:val="right"/>
            </w:pPr>
            <w:r>
              <w:t>Harrell’s C</w:t>
            </w:r>
          </w:p>
        </w:tc>
      </w:tr>
      <w:tr w:rsidR="00AC0E14" w14:paraId="171C1B68" w14:textId="77777777">
        <w:tc>
          <w:tcPr>
            <w:tcW w:w="0" w:type="auto"/>
          </w:tcPr>
          <w:p w14:paraId="7A492862" w14:textId="77777777" w:rsidR="00AC0E14" w:rsidRDefault="00000000">
            <w:pPr>
              <w:pStyle w:val="Compact"/>
            </w:pPr>
            <w:r>
              <w:t>NCCTG lung cancer</w:t>
            </w:r>
          </w:p>
        </w:tc>
        <w:tc>
          <w:tcPr>
            <w:tcW w:w="0" w:type="auto"/>
          </w:tcPr>
          <w:p w14:paraId="639F23A5" w14:textId="77777777" w:rsidR="00AC0E14" w:rsidRDefault="00000000">
            <w:pPr>
              <w:pStyle w:val="Compact"/>
              <w:jc w:val="right"/>
            </w:pPr>
            <w:r>
              <w:t>228</w:t>
            </w:r>
          </w:p>
        </w:tc>
        <w:tc>
          <w:tcPr>
            <w:tcW w:w="0" w:type="auto"/>
          </w:tcPr>
          <w:p w14:paraId="6B276E72" w14:textId="77777777" w:rsidR="00AC0E14" w:rsidRDefault="00000000">
            <w:pPr>
              <w:pStyle w:val="Compact"/>
              <w:jc w:val="right"/>
            </w:pPr>
            <w:r>
              <w:t>210</w:t>
            </w:r>
          </w:p>
        </w:tc>
        <w:tc>
          <w:tcPr>
            <w:tcW w:w="0" w:type="auto"/>
          </w:tcPr>
          <w:p w14:paraId="62C4EEC4" w14:textId="77777777" w:rsidR="00AC0E14" w:rsidRDefault="00000000">
            <w:pPr>
              <w:pStyle w:val="Compact"/>
              <w:jc w:val="right"/>
            </w:pPr>
            <w:r>
              <w:t>148</w:t>
            </w:r>
          </w:p>
        </w:tc>
        <w:tc>
          <w:tcPr>
            <w:tcW w:w="0" w:type="auto"/>
          </w:tcPr>
          <w:p w14:paraId="3808D003" w14:textId="77777777" w:rsidR="00AC0E14" w:rsidRDefault="00000000">
            <w:pPr>
              <w:pStyle w:val="Compact"/>
              <w:jc w:val="right"/>
            </w:pPr>
            <w:r>
              <w:t>5</w:t>
            </w:r>
          </w:p>
        </w:tc>
        <w:tc>
          <w:tcPr>
            <w:tcW w:w="0" w:type="auto"/>
          </w:tcPr>
          <w:p w14:paraId="4520D1C4" w14:textId="77777777" w:rsidR="00AC0E14" w:rsidRDefault="00000000">
            <w:pPr>
              <w:pStyle w:val="Compact"/>
              <w:jc w:val="right"/>
            </w:pPr>
            <w:r>
              <w:t>0.66</w:t>
            </w:r>
          </w:p>
        </w:tc>
      </w:tr>
      <w:tr w:rsidR="00AC0E14" w14:paraId="14CAC64E" w14:textId="77777777">
        <w:tc>
          <w:tcPr>
            <w:tcW w:w="0" w:type="auto"/>
          </w:tcPr>
          <w:p w14:paraId="2C541809" w14:textId="77777777" w:rsidR="00AC0E14" w:rsidRDefault="00000000">
            <w:pPr>
              <w:pStyle w:val="Compact"/>
            </w:pPr>
            <w:r>
              <w:t>Colon cancer</w:t>
            </w:r>
          </w:p>
        </w:tc>
        <w:tc>
          <w:tcPr>
            <w:tcW w:w="0" w:type="auto"/>
          </w:tcPr>
          <w:p w14:paraId="312ACE0A" w14:textId="77777777" w:rsidR="00AC0E14" w:rsidRDefault="00000000">
            <w:pPr>
              <w:pStyle w:val="Compact"/>
              <w:jc w:val="right"/>
            </w:pPr>
            <w:r>
              <w:t>929</w:t>
            </w:r>
          </w:p>
        </w:tc>
        <w:tc>
          <w:tcPr>
            <w:tcW w:w="0" w:type="auto"/>
          </w:tcPr>
          <w:p w14:paraId="522F1505" w14:textId="77777777" w:rsidR="00AC0E14" w:rsidRDefault="00000000">
            <w:pPr>
              <w:pStyle w:val="Compact"/>
              <w:jc w:val="right"/>
            </w:pPr>
            <w:r>
              <w:t>888</w:t>
            </w:r>
          </w:p>
        </w:tc>
        <w:tc>
          <w:tcPr>
            <w:tcW w:w="0" w:type="auto"/>
          </w:tcPr>
          <w:p w14:paraId="73465447" w14:textId="77777777" w:rsidR="00AC0E14" w:rsidRDefault="00000000">
            <w:pPr>
              <w:pStyle w:val="Compact"/>
              <w:jc w:val="right"/>
            </w:pPr>
            <w:r>
              <w:t>430</w:t>
            </w:r>
          </w:p>
        </w:tc>
        <w:tc>
          <w:tcPr>
            <w:tcW w:w="0" w:type="auto"/>
          </w:tcPr>
          <w:p w14:paraId="6C1C2479" w14:textId="77777777" w:rsidR="00AC0E14" w:rsidRDefault="00000000">
            <w:pPr>
              <w:pStyle w:val="Compact"/>
              <w:jc w:val="right"/>
            </w:pPr>
            <w:r>
              <w:t>11</w:t>
            </w:r>
          </w:p>
        </w:tc>
        <w:tc>
          <w:tcPr>
            <w:tcW w:w="0" w:type="auto"/>
          </w:tcPr>
          <w:p w14:paraId="0EB01964" w14:textId="77777777" w:rsidR="00AC0E14" w:rsidRDefault="00000000">
            <w:pPr>
              <w:pStyle w:val="Compact"/>
              <w:jc w:val="right"/>
            </w:pPr>
            <w:r>
              <w:t>0.67</w:t>
            </w:r>
          </w:p>
        </w:tc>
      </w:tr>
      <w:tr w:rsidR="00AC0E14" w14:paraId="638766C4" w14:textId="77777777">
        <w:tc>
          <w:tcPr>
            <w:tcW w:w="0" w:type="auto"/>
          </w:tcPr>
          <w:p w14:paraId="422661EC" w14:textId="77777777" w:rsidR="00AC0E14" w:rsidRDefault="00000000">
            <w:pPr>
              <w:pStyle w:val="Compact"/>
            </w:pPr>
            <w:r>
              <w:t>MGUS</w:t>
            </w:r>
          </w:p>
        </w:tc>
        <w:tc>
          <w:tcPr>
            <w:tcW w:w="0" w:type="auto"/>
          </w:tcPr>
          <w:p w14:paraId="55876E6E" w14:textId="77777777" w:rsidR="00AC0E14" w:rsidRDefault="00000000">
            <w:pPr>
              <w:pStyle w:val="Compact"/>
              <w:jc w:val="right"/>
            </w:pPr>
            <w:r>
              <w:t>1384</w:t>
            </w:r>
          </w:p>
        </w:tc>
        <w:tc>
          <w:tcPr>
            <w:tcW w:w="0" w:type="auto"/>
          </w:tcPr>
          <w:p w14:paraId="47A447AE" w14:textId="77777777" w:rsidR="00AC0E14" w:rsidRDefault="00000000">
            <w:pPr>
              <w:pStyle w:val="Compact"/>
              <w:jc w:val="right"/>
            </w:pPr>
            <w:r>
              <w:t>1338</w:t>
            </w:r>
          </w:p>
        </w:tc>
        <w:tc>
          <w:tcPr>
            <w:tcW w:w="0" w:type="auto"/>
          </w:tcPr>
          <w:p w14:paraId="045EB043" w14:textId="77777777" w:rsidR="00AC0E14" w:rsidRDefault="00000000">
            <w:pPr>
              <w:pStyle w:val="Compact"/>
              <w:jc w:val="right"/>
            </w:pPr>
            <w:r>
              <w:t>938</w:t>
            </w:r>
          </w:p>
        </w:tc>
        <w:tc>
          <w:tcPr>
            <w:tcW w:w="0" w:type="auto"/>
          </w:tcPr>
          <w:p w14:paraId="3F9CA9D8" w14:textId="77777777" w:rsidR="00AC0E14" w:rsidRDefault="00000000">
            <w:pPr>
              <w:pStyle w:val="Compact"/>
              <w:jc w:val="right"/>
            </w:pPr>
            <w:r>
              <w:t>4</w:t>
            </w:r>
          </w:p>
        </w:tc>
        <w:tc>
          <w:tcPr>
            <w:tcW w:w="0" w:type="auto"/>
          </w:tcPr>
          <w:p w14:paraId="782CA373" w14:textId="77777777" w:rsidR="00AC0E14" w:rsidRDefault="00000000">
            <w:pPr>
              <w:pStyle w:val="Compact"/>
              <w:jc w:val="right"/>
            </w:pPr>
            <w:r>
              <w:t>0.69</w:t>
            </w:r>
          </w:p>
        </w:tc>
      </w:tr>
      <w:tr w:rsidR="00AC0E14" w14:paraId="395946BC" w14:textId="77777777">
        <w:tc>
          <w:tcPr>
            <w:tcW w:w="0" w:type="auto"/>
          </w:tcPr>
          <w:p w14:paraId="5C7E4DEF" w14:textId="77777777" w:rsidR="00AC0E14" w:rsidRDefault="00000000">
            <w:pPr>
              <w:pStyle w:val="Compact"/>
            </w:pPr>
            <w:r>
              <w:t>GBSG breast cancer (RFS)</w:t>
            </w:r>
          </w:p>
        </w:tc>
        <w:tc>
          <w:tcPr>
            <w:tcW w:w="0" w:type="auto"/>
          </w:tcPr>
          <w:p w14:paraId="7480B6C4" w14:textId="77777777" w:rsidR="00AC0E14" w:rsidRDefault="00000000">
            <w:pPr>
              <w:pStyle w:val="Compact"/>
              <w:jc w:val="right"/>
            </w:pPr>
            <w:r>
              <w:t>686</w:t>
            </w:r>
          </w:p>
        </w:tc>
        <w:tc>
          <w:tcPr>
            <w:tcW w:w="0" w:type="auto"/>
          </w:tcPr>
          <w:p w14:paraId="08F08175" w14:textId="77777777" w:rsidR="00AC0E14" w:rsidRDefault="00000000">
            <w:pPr>
              <w:pStyle w:val="Compact"/>
              <w:jc w:val="right"/>
            </w:pPr>
            <w:r>
              <w:t>686</w:t>
            </w:r>
          </w:p>
        </w:tc>
        <w:tc>
          <w:tcPr>
            <w:tcW w:w="0" w:type="auto"/>
          </w:tcPr>
          <w:p w14:paraId="0DA3098C" w14:textId="77777777" w:rsidR="00AC0E14" w:rsidRDefault="00000000">
            <w:pPr>
              <w:pStyle w:val="Compact"/>
              <w:jc w:val="right"/>
            </w:pPr>
            <w:r>
              <w:t>299</w:t>
            </w:r>
          </w:p>
        </w:tc>
        <w:tc>
          <w:tcPr>
            <w:tcW w:w="0" w:type="auto"/>
          </w:tcPr>
          <w:p w14:paraId="42B2017F" w14:textId="77777777" w:rsidR="00AC0E14" w:rsidRDefault="00000000">
            <w:pPr>
              <w:pStyle w:val="Compact"/>
              <w:jc w:val="right"/>
            </w:pPr>
            <w:r>
              <w:t>5</w:t>
            </w:r>
          </w:p>
        </w:tc>
        <w:tc>
          <w:tcPr>
            <w:tcW w:w="0" w:type="auto"/>
          </w:tcPr>
          <w:p w14:paraId="41F04379" w14:textId="77777777" w:rsidR="00AC0E14" w:rsidRDefault="00000000">
            <w:pPr>
              <w:pStyle w:val="Compact"/>
              <w:jc w:val="right"/>
            </w:pPr>
            <w:r>
              <w:t>0.70</w:t>
            </w:r>
          </w:p>
        </w:tc>
      </w:tr>
      <w:tr w:rsidR="00AC0E14" w14:paraId="5881FF4D" w14:textId="77777777">
        <w:tc>
          <w:tcPr>
            <w:tcW w:w="0" w:type="auto"/>
          </w:tcPr>
          <w:p w14:paraId="30FB629B" w14:textId="77777777" w:rsidR="00AC0E14" w:rsidRDefault="00000000">
            <w:pPr>
              <w:pStyle w:val="Compact"/>
            </w:pPr>
            <w:r>
              <w:t>Rotterdam breast cancer</w:t>
            </w:r>
          </w:p>
        </w:tc>
        <w:tc>
          <w:tcPr>
            <w:tcW w:w="0" w:type="auto"/>
          </w:tcPr>
          <w:p w14:paraId="370292A6" w14:textId="77777777" w:rsidR="00AC0E14" w:rsidRDefault="00000000">
            <w:pPr>
              <w:pStyle w:val="Compact"/>
              <w:jc w:val="right"/>
            </w:pPr>
            <w:r>
              <w:t>2982</w:t>
            </w:r>
          </w:p>
        </w:tc>
        <w:tc>
          <w:tcPr>
            <w:tcW w:w="0" w:type="auto"/>
          </w:tcPr>
          <w:p w14:paraId="78C0C8F0" w14:textId="77777777" w:rsidR="00AC0E14" w:rsidRDefault="00000000">
            <w:pPr>
              <w:pStyle w:val="Compact"/>
              <w:jc w:val="right"/>
            </w:pPr>
            <w:r>
              <w:t>2982</w:t>
            </w:r>
          </w:p>
        </w:tc>
        <w:tc>
          <w:tcPr>
            <w:tcW w:w="0" w:type="auto"/>
          </w:tcPr>
          <w:p w14:paraId="16E988D7" w14:textId="77777777" w:rsidR="00AC0E14" w:rsidRDefault="00000000">
            <w:pPr>
              <w:pStyle w:val="Compact"/>
              <w:jc w:val="right"/>
            </w:pPr>
            <w:r>
              <w:t>1272</w:t>
            </w:r>
          </w:p>
        </w:tc>
        <w:tc>
          <w:tcPr>
            <w:tcW w:w="0" w:type="auto"/>
          </w:tcPr>
          <w:p w14:paraId="18335814" w14:textId="77777777" w:rsidR="00AC0E14" w:rsidRDefault="00000000">
            <w:pPr>
              <w:pStyle w:val="Compact"/>
              <w:jc w:val="right"/>
            </w:pPr>
            <w:r>
              <w:t>8</w:t>
            </w:r>
          </w:p>
        </w:tc>
        <w:tc>
          <w:tcPr>
            <w:tcW w:w="0" w:type="auto"/>
          </w:tcPr>
          <w:p w14:paraId="04C6C50C" w14:textId="77777777" w:rsidR="00AC0E14" w:rsidRDefault="00000000">
            <w:pPr>
              <w:pStyle w:val="Compact"/>
              <w:jc w:val="right"/>
            </w:pPr>
            <w:r>
              <w:t>0.71</w:t>
            </w:r>
          </w:p>
        </w:tc>
      </w:tr>
      <w:tr w:rsidR="00AC0E14" w14:paraId="54798907" w14:textId="77777777">
        <w:tc>
          <w:tcPr>
            <w:tcW w:w="0" w:type="auto"/>
          </w:tcPr>
          <w:p w14:paraId="0E2C11AE" w14:textId="77777777" w:rsidR="00AC0E14" w:rsidRDefault="00000000">
            <w:pPr>
              <w:pStyle w:val="Compact"/>
            </w:pPr>
            <w:r>
              <w:t>Veterans’ lung cancer</w:t>
            </w:r>
          </w:p>
        </w:tc>
        <w:tc>
          <w:tcPr>
            <w:tcW w:w="0" w:type="auto"/>
          </w:tcPr>
          <w:p w14:paraId="4BAEF87B" w14:textId="77777777" w:rsidR="00AC0E14" w:rsidRDefault="00000000">
            <w:pPr>
              <w:pStyle w:val="Compact"/>
              <w:jc w:val="right"/>
            </w:pPr>
            <w:r>
              <w:t>137</w:t>
            </w:r>
          </w:p>
        </w:tc>
        <w:tc>
          <w:tcPr>
            <w:tcW w:w="0" w:type="auto"/>
          </w:tcPr>
          <w:p w14:paraId="127F7056" w14:textId="77777777" w:rsidR="00AC0E14" w:rsidRDefault="00000000">
            <w:pPr>
              <w:pStyle w:val="Compact"/>
              <w:jc w:val="right"/>
            </w:pPr>
            <w:r>
              <w:t>137</w:t>
            </w:r>
          </w:p>
        </w:tc>
        <w:tc>
          <w:tcPr>
            <w:tcW w:w="0" w:type="auto"/>
          </w:tcPr>
          <w:p w14:paraId="3E054B10" w14:textId="77777777" w:rsidR="00AC0E14" w:rsidRDefault="00000000">
            <w:pPr>
              <w:pStyle w:val="Compact"/>
              <w:jc w:val="right"/>
            </w:pPr>
            <w:r>
              <w:t>128</w:t>
            </w:r>
          </w:p>
        </w:tc>
        <w:tc>
          <w:tcPr>
            <w:tcW w:w="0" w:type="auto"/>
          </w:tcPr>
          <w:p w14:paraId="6C1D8B03" w14:textId="77777777" w:rsidR="00AC0E14" w:rsidRDefault="00000000">
            <w:pPr>
              <w:pStyle w:val="Compact"/>
              <w:jc w:val="right"/>
            </w:pPr>
            <w:r>
              <w:t>4</w:t>
            </w:r>
          </w:p>
        </w:tc>
        <w:tc>
          <w:tcPr>
            <w:tcW w:w="0" w:type="auto"/>
          </w:tcPr>
          <w:p w14:paraId="446AE900" w14:textId="77777777" w:rsidR="00AC0E14" w:rsidRDefault="00000000">
            <w:pPr>
              <w:pStyle w:val="Compact"/>
              <w:jc w:val="right"/>
            </w:pPr>
            <w:r>
              <w:t>0.73</w:t>
            </w:r>
          </w:p>
        </w:tc>
      </w:tr>
      <w:tr w:rsidR="00AC0E14" w14:paraId="00E58B55" w14:textId="77777777">
        <w:tc>
          <w:tcPr>
            <w:tcW w:w="0" w:type="auto"/>
          </w:tcPr>
          <w:p w14:paraId="558ABE30" w14:textId="77777777" w:rsidR="00AC0E14" w:rsidRDefault="00000000">
            <w:pPr>
              <w:pStyle w:val="Compact"/>
            </w:pPr>
            <w:r>
              <w:t>Serum free light chain</w:t>
            </w:r>
          </w:p>
        </w:tc>
        <w:tc>
          <w:tcPr>
            <w:tcW w:w="0" w:type="auto"/>
          </w:tcPr>
          <w:p w14:paraId="46AF1FD0" w14:textId="77777777" w:rsidR="00AC0E14" w:rsidRDefault="00000000">
            <w:pPr>
              <w:pStyle w:val="Compact"/>
              <w:jc w:val="right"/>
            </w:pPr>
            <w:r>
              <w:t>7874</w:t>
            </w:r>
          </w:p>
        </w:tc>
        <w:tc>
          <w:tcPr>
            <w:tcW w:w="0" w:type="auto"/>
          </w:tcPr>
          <w:p w14:paraId="47644960" w14:textId="77777777" w:rsidR="00AC0E14" w:rsidRDefault="00000000">
            <w:pPr>
              <w:pStyle w:val="Compact"/>
              <w:jc w:val="right"/>
            </w:pPr>
            <w:r>
              <w:t>6521</w:t>
            </w:r>
          </w:p>
        </w:tc>
        <w:tc>
          <w:tcPr>
            <w:tcW w:w="0" w:type="auto"/>
          </w:tcPr>
          <w:p w14:paraId="6D5FC768" w14:textId="77777777" w:rsidR="00AC0E14" w:rsidRDefault="00000000">
            <w:pPr>
              <w:pStyle w:val="Compact"/>
              <w:jc w:val="right"/>
            </w:pPr>
            <w:r>
              <w:t>1959</w:t>
            </w:r>
          </w:p>
        </w:tc>
        <w:tc>
          <w:tcPr>
            <w:tcW w:w="0" w:type="auto"/>
          </w:tcPr>
          <w:p w14:paraId="0E71D154" w14:textId="77777777" w:rsidR="00AC0E14" w:rsidRDefault="00000000">
            <w:pPr>
              <w:pStyle w:val="Compact"/>
              <w:jc w:val="right"/>
            </w:pPr>
            <w:r>
              <w:t>6</w:t>
            </w:r>
          </w:p>
        </w:tc>
        <w:tc>
          <w:tcPr>
            <w:tcW w:w="0" w:type="auto"/>
          </w:tcPr>
          <w:p w14:paraId="3F783066" w14:textId="77777777" w:rsidR="00AC0E14" w:rsidRDefault="00000000">
            <w:pPr>
              <w:pStyle w:val="Compact"/>
              <w:jc w:val="right"/>
            </w:pPr>
            <w:r>
              <w:t>0.79</w:t>
            </w:r>
          </w:p>
        </w:tc>
      </w:tr>
      <w:tr w:rsidR="00AC0E14" w14:paraId="037AD5CC" w14:textId="77777777">
        <w:tc>
          <w:tcPr>
            <w:tcW w:w="0" w:type="auto"/>
          </w:tcPr>
          <w:p w14:paraId="011ED9EE" w14:textId="77777777" w:rsidR="00AC0E14" w:rsidRDefault="00000000">
            <w:pPr>
              <w:pStyle w:val="Compact"/>
            </w:pPr>
            <w:r>
              <w:t>Primary biliary cholangitis</w:t>
            </w:r>
          </w:p>
        </w:tc>
        <w:tc>
          <w:tcPr>
            <w:tcW w:w="0" w:type="auto"/>
          </w:tcPr>
          <w:p w14:paraId="179B2CB9" w14:textId="77777777" w:rsidR="00AC0E14" w:rsidRDefault="00000000">
            <w:pPr>
              <w:pStyle w:val="Compact"/>
              <w:jc w:val="right"/>
            </w:pPr>
            <w:r>
              <w:t>312</w:t>
            </w:r>
          </w:p>
        </w:tc>
        <w:tc>
          <w:tcPr>
            <w:tcW w:w="0" w:type="auto"/>
          </w:tcPr>
          <w:p w14:paraId="370F6918" w14:textId="77777777" w:rsidR="00AC0E14" w:rsidRDefault="00000000">
            <w:pPr>
              <w:pStyle w:val="Compact"/>
              <w:jc w:val="right"/>
            </w:pPr>
            <w:r>
              <w:t>310</w:t>
            </w:r>
          </w:p>
        </w:tc>
        <w:tc>
          <w:tcPr>
            <w:tcW w:w="0" w:type="auto"/>
          </w:tcPr>
          <w:p w14:paraId="653F8B88" w14:textId="77777777" w:rsidR="00AC0E14" w:rsidRDefault="00000000">
            <w:pPr>
              <w:pStyle w:val="Compact"/>
              <w:jc w:val="right"/>
            </w:pPr>
            <w:r>
              <w:t>124</w:t>
            </w:r>
          </w:p>
        </w:tc>
        <w:tc>
          <w:tcPr>
            <w:tcW w:w="0" w:type="auto"/>
          </w:tcPr>
          <w:p w14:paraId="51D8BF6A" w14:textId="77777777" w:rsidR="00AC0E14" w:rsidRDefault="00000000">
            <w:pPr>
              <w:pStyle w:val="Compact"/>
              <w:jc w:val="right"/>
            </w:pPr>
            <w:r>
              <w:t>9</w:t>
            </w:r>
          </w:p>
        </w:tc>
        <w:tc>
          <w:tcPr>
            <w:tcW w:w="0" w:type="auto"/>
          </w:tcPr>
          <w:p w14:paraId="03342BA4" w14:textId="77777777" w:rsidR="00AC0E14" w:rsidRDefault="00000000">
            <w:pPr>
              <w:pStyle w:val="Compact"/>
              <w:jc w:val="right"/>
            </w:pPr>
            <w:r>
              <w:t>0.86</w:t>
            </w:r>
          </w:p>
        </w:tc>
      </w:tr>
    </w:tbl>
    <w:p w14:paraId="1A68B4D4" w14:textId="77777777" w:rsidR="00AC0E14" w:rsidRDefault="00000000">
      <w:pPr>
        <w:pStyle w:val="BodyText"/>
      </w:pPr>
      <w:r>
        <w:t xml:space="preserve">Figure S6.1 shows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r>
          <w:rPr>
            <w:rFonts w:ascii="Cambria Math" w:hAnsi="Cambria Math"/>
          </w:rPr>
          <m:t>N</m:t>
        </m:r>
      </m:oMath>
      <w:r>
        <w:t xml:space="preserve"> against the predicted survival probability. Predictions with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occurred early during follow-up where the predicted survival was close to 1. This was confirmed in a further simulation study (Supplement 7). Predictions with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also occurred where the predicted survival was close to zero.</w:t>
      </w:r>
    </w:p>
    <w:p w14:paraId="3DEDD896" w14:textId="77777777" w:rsidR="00AC0E14" w:rsidRDefault="00000000">
      <w:pPr>
        <w:pStyle w:val="CaptionedFigure"/>
      </w:pPr>
      <w:r>
        <w:rPr>
          <w:noProof/>
        </w:rPr>
        <w:lastRenderedPageBreak/>
        <w:drawing>
          <wp:inline distT="0" distB="0" distL="0" distR="0" wp14:anchorId="3E5ECF79" wp14:editId="564A1F23">
            <wp:extent cx="5334000" cy="3555999"/>
            <wp:effectExtent l="0" t="0" r="0" b="0"/>
            <wp:docPr id="32" name="Picture" descr="Figure S6.1. Effective sample size relative to the development sample size, N_*/N, against predicted survival for the backward-selected Cox model in each dataset. The y-axis runs from 0 to 2 in each panel. Colours indicate the fraction of events observed at the specific horizon. Dashed horizontal line: N_* = N; dashed vertical line: survival above which the median N_*/N exceeds 1, marked with the predicted survival threshold by data set. The lowest threshold was found in the Veterans’ lung cancer data set (\widehat{S}(t|\mathbf{x}) = 0.93)."/>
            <wp:cNvGraphicFramePr/>
            <a:graphic xmlns:a="http://schemas.openxmlformats.org/drawingml/2006/main">
              <a:graphicData uri="http://schemas.openxmlformats.org/drawingml/2006/picture">
                <pic:pic xmlns:pic="http://schemas.openxmlformats.org/drawingml/2006/picture">
                  <pic:nvPicPr>
                    <pic:cNvPr id="33" name="Picture" descr="supplement_files/figure-docx/s6-fig-scatter-1.png"/>
                    <pic:cNvPicPr>
                      <a:picLocks noChangeAspect="1" noChangeArrowheads="1"/>
                    </pic:cNvPicPr>
                  </pic:nvPicPr>
                  <pic:blipFill>
                    <a:blip r:embed="rId9"/>
                    <a:stretch>
                      <a:fillRect/>
                    </a:stretch>
                  </pic:blipFill>
                  <pic:spPr bwMode="auto">
                    <a:xfrm>
                      <a:off x="0" y="0"/>
                      <a:ext cx="5334000" cy="3555999"/>
                    </a:xfrm>
                    <a:prstGeom prst="rect">
                      <a:avLst/>
                    </a:prstGeom>
                    <a:noFill/>
                    <a:ln w="9525">
                      <a:noFill/>
                      <a:headEnd/>
                      <a:tailEnd/>
                    </a:ln>
                  </pic:spPr>
                </pic:pic>
              </a:graphicData>
            </a:graphic>
          </wp:inline>
        </w:drawing>
      </w:r>
    </w:p>
    <w:p w14:paraId="689ACA32" w14:textId="6342054E" w:rsidR="00AC0E14" w:rsidRDefault="00000000">
      <w:pPr>
        <w:pStyle w:val="ImageCaption"/>
      </w:pPr>
      <w:r>
        <w:t xml:space="preserve">Figure S6.1. Effective sample size relative to the development sample size, </w:t>
      </w:r>
      <m:oMath>
        <m:sSub>
          <m:sSubPr>
            <m:ctrlPr>
              <w:rPr>
                <w:rFonts w:ascii="Cambria Math" w:hAnsi="Cambria Math"/>
              </w:rPr>
            </m:ctrlPr>
          </m:sSubPr>
          <m:e>
            <m:r>
              <w:rPr>
                <w:rFonts w:ascii="Cambria Math" w:hAnsi="Cambria Math"/>
              </w:rPr>
              <m:t>N</m:t>
            </m:r>
          </m:e>
          <m:sub>
            <m:r>
              <w:rPr>
                <w:rFonts w:ascii="Cambria Math" w:hAnsi="Cambria Math"/>
              </w:rPr>
              <m:t>*</m:t>
            </m:r>
          </m:sub>
        </m:sSub>
        <m:r>
          <w:rPr>
            <w:rFonts w:ascii="Cambria Math" w:hAnsi="Cambria Math"/>
          </w:rPr>
          <m:t>/N</m:t>
        </m:r>
      </m:oMath>
      <w:r>
        <w:t xml:space="preserve">, against predicted survival for the backward-selected Cox model in each dataset. </w:t>
      </w:r>
      <w:r w:rsidR="003B7A36">
        <w:t>Colors</w:t>
      </w:r>
      <w:r>
        <w:t xml:space="preserve"> indicate the fraction of events observed at the specific horizon. Dashed horizontal line: </w:t>
      </w:r>
      <m:oMath>
        <m:sSub>
          <m:sSubPr>
            <m:ctrlPr>
              <w:rPr>
                <w:rFonts w:ascii="Cambria Math" w:hAnsi="Cambria Math"/>
              </w:rPr>
            </m:ctrlPr>
          </m:sSubPr>
          <m:e>
            <m:r>
              <w:rPr>
                <w:rFonts w:ascii="Cambria Math" w:hAnsi="Cambria Math"/>
              </w:rPr>
              <m:t>N</m:t>
            </m:r>
          </m:e>
          <m:sub>
            <m:r>
              <w:rPr>
                <w:rFonts w:ascii="Cambria Math" w:hAnsi="Cambria Math"/>
              </w:rPr>
              <m:t>*</m:t>
            </m:r>
          </m:sub>
        </m:sSub>
        <m:r>
          <w:rPr>
            <w:rFonts w:ascii="Cambria Math" w:hAnsi="Cambria Math"/>
          </w:rPr>
          <m:t>=N</m:t>
        </m:r>
      </m:oMath>
      <w:r>
        <w:t xml:space="preserve">; dashed vertical line: survival above which the median </w:t>
      </w:r>
      <m:oMath>
        <m:sSub>
          <m:sSubPr>
            <m:ctrlPr>
              <w:rPr>
                <w:rFonts w:ascii="Cambria Math" w:hAnsi="Cambria Math"/>
              </w:rPr>
            </m:ctrlPr>
          </m:sSubPr>
          <m:e>
            <m:r>
              <w:rPr>
                <w:rFonts w:ascii="Cambria Math" w:hAnsi="Cambria Math"/>
              </w:rPr>
              <m:t>N</m:t>
            </m:r>
          </m:e>
          <m:sub>
            <m:r>
              <w:rPr>
                <w:rFonts w:ascii="Cambria Math" w:hAnsi="Cambria Math"/>
              </w:rPr>
              <m:t>*</m:t>
            </m:r>
          </m:sub>
        </m:sSub>
        <m:r>
          <w:rPr>
            <w:rFonts w:ascii="Cambria Math" w:hAnsi="Cambria Math"/>
          </w:rPr>
          <m:t>/N</m:t>
        </m:r>
      </m:oMath>
      <w:r>
        <w:t xml:space="preserve"> exceeds 1, marked with the predicted survival threshold by data set. The lowest threshold was found in the Veterans’ lung cancer data set (</w:t>
      </w:r>
      <m:oMath>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bi"/>
              </m:rPr>
              <w:rPr>
                <w:rFonts w:ascii="Cambria Math" w:hAnsi="Cambria Math"/>
              </w:rPr>
              <m:t>x</m:t>
            </m:r>
          </m:e>
        </m:d>
      </m:oMath>
      <w:r>
        <w:t xml:space="preserve"> = 0.93).</w:t>
      </w:r>
    </w:p>
    <w:p w14:paraId="154BBE47" w14:textId="77777777" w:rsidR="00AC0E14" w:rsidRDefault="00000000">
      <w:pPr>
        <w:pStyle w:val="BodyText"/>
      </w:pPr>
      <w:r>
        <w:t xml:space="preserve">Table S6.2 shows the percentage of predictions with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per dataset and fraction of events observed. At the first horizon (1% of the events), this percentage ranged from 55% to 81% over the datasets. At the last horizon (90% of the events) it ranged from 0% to 25% (Veterans’ lung cancer data set).</w:t>
      </w:r>
    </w:p>
    <w:p w14:paraId="15CF62AB" w14:textId="77777777" w:rsidR="00AC0E14" w:rsidRDefault="00000000">
      <w:pPr>
        <w:pStyle w:val="TableCaption"/>
      </w:pPr>
      <w:r>
        <w:t xml:space="preserve">Table S6.2. Percentage of predictions with </w:t>
      </w:r>
      <m:oMath>
        <m:sSub>
          <m:sSubPr>
            <m:ctrlPr>
              <w:rPr>
                <w:rFonts w:ascii="Cambria Math" w:hAnsi="Cambria Math"/>
              </w:rPr>
            </m:ctrlPr>
          </m:sSubPr>
          <m:e>
            <m:r>
              <w:rPr>
                <w:rFonts w:ascii="Cambria Math" w:hAnsi="Cambria Math"/>
              </w:rPr>
              <m:t>N</m:t>
            </m:r>
          </m:e>
          <m:sub>
            <m:r>
              <w:rPr>
                <w:rFonts w:ascii="Cambria Math" w:hAnsi="Cambria Math"/>
              </w:rPr>
              <m:t>*</m:t>
            </m:r>
          </m:sub>
        </m:sSub>
        <m:r>
          <w:rPr>
            <w:rFonts w:ascii="Cambria Math" w:hAnsi="Cambria Math"/>
          </w:rPr>
          <m:t>&gt;N</m:t>
        </m:r>
      </m:oMath>
      <w:r>
        <w:t xml:space="preserve"> per dataset (ordered by Harrell’s C) and fraction of events observed at the horizon (column headings).</w:t>
      </w:r>
    </w:p>
    <w:tbl>
      <w:tblPr>
        <w:tblStyle w:val="Table"/>
        <w:tblW w:w="0" w:type="auto"/>
        <w:tblLook w:val="0020" w:firstRow="1" w:lastRow="0" w:firstColumn="0" w:lastColumn="0" w:noHBand="0" w:noVBand="0"/>
      </w:tblPr>
      <w:tblGrid>
        <w:gridCol w:w="2913"/>
        <w:gridCol w:w="543"/>
        <w:gridCol w:w="671"/>
        <w:gridCol w:w="671"/>
        <w:gridCol w:w="671"/>
        <w:gridCol w:w="671"/>
        <w:gridCol w:w="671"/>
        <w:gridCol w:w="671"/>
      </w:tblGrid>
      <w:tr w:rsidR="00AC0E14" w14:paraId="55B56141" w14:textId="77777777" w:rsidTr="00AC0E14">
        <w:trPr>
          <w:cnfStyle w:val="100000000000" w:firstRow="1" w:lastRow="0" w:firstColumn="0" w:lastColumn="0" w:oddVBand="0" w:evenVBand="0" w:oddHBand="0" w:evenHBand="0" w:firstRowFirstColumn="0" w:firstRowLastColumn="0" w:lastRowFirstColumn="0" w:lastRowLastColumn="0"/>
          <w:tblHeader/>
        </w:trPr>
        <w:tc>
          <w:tcPr>
            <w:tcW w:w="0" w:type="auto"/>
          </w:tcPr>
          <w:p w14:paraId="5008E86D" w14:textId="77777777" w:rsidR="00AC0E14" w:rsidRDefault="00000000">
            <w:pPr>
              <w:pStyle w:val="Compact"/>
            </w:pPr>
            <w:r>
              <w:t>Dataset</w:t>
            </w:r>
          </w:p>
        </w:tc>
        <w:tc>
          <w:tcPr>
            <w:tcW w:w="0" w:type="auto"/>
          </w:tcPr>
          <w:p w14:paraId="00C9812E" w14:textId="77777777" w:rsidR="00AC0E14" w:rsidRDefault="00000000">
            <w:pPr>
              <w:pStyle w:val="Compact"/>
              <w:jc w:val="right"/>
            </w:pPr>
            <w:r>
              <w:t>1%</w:t>
            </w:r>
          </w:p>
        </w:tc>
        <w:tc>
          <w:tcPr>
            <w:tcW w:w="0" w:type="auto"/>
          </w:tcPr>
          <w:p w14:paraId="4D6D848C" w14:textId="77777777" w:rsidR="00AC0E14" w:rsidRDefault="00000000">
            <w:pPr>
              <w:pStyle w:val="Compact"/>
              <w:jc w:val="right"/>
            </w:pPr>
            <w:r>
              <w:t>10%</w:t>
            </w:r>
          </w:p>
        </w:tc>
        <w:tc>
          <w:tcPr>
            <w:tcW w:w="0" w:type="auto"/>
          </w:tcPr>
          <w:p w14:paraId="7D82C998" w14:textId="77777777" w:rsidR="00AC0E14" w:rsidRDefault="00000000">
            <w:pPr>
              <w:pStyle w:val="Compact"/>
              <w:jc w:val="right"/>
            </w:pPr>
            <w:r>
              <w:t>25%</w:t>
            </w:r>
          </w:p>
        </w:tc>
        <w:tc>
          <w:tcPr>
            <w:tcW w:w="0" w:type="auto"/>
          </w:tcPr>
          <w:p w14:paraId="1D7CD69D" w14:textId="77777777" w:rsidR="00AC0E14" w:rsidRDefault="00000000">
            <w:pPr>
              <w:pStyle w:val="Compact"/>
              <w:jc w:val="right"/>
            </w:pPr>
            <w:r>
              <w:t>40%</w:t>
            </w:r>
          </w:p>
        </w:tc>
        <w:tc>
          <w:tcPr>
            <w:tcW w:w="0" w:type="auto"/>
          </w:tcPr>
          <w:p w14:paraId="59420B64" w14:textId="77777777" w:rsidR="00AC0E14" w:rsidRDefault="00000000">
            <w:pPr>
              <w:pStyle w:val="Compact"/>
              <w:jc w:val="right"/>
            </w:pPr>
            <w:r>
              <w:t>60%</w:t>
            </w:r>
          </w:p>
        </w:tc>
        <w:tc>
          <w:tcPr>
            <w:tcW w:w="0" w:type="auto"/>
          </w:tcPr>
          <w:p w14:paraId="55BBEAAC" w14:textId="77777777" w:rsidR="00AC0E14" w:rsidRDefault="00000000">
            <w:pPr>
              <w:pStyle w:val="Compact"/>
              <w:jc w:val="right"/>
            </w:pPr>
            <w:r>
              <w:t>75%</w:t>
            </w:r>
          </w:p>
        </w:tc>
        <w:tc>
          <w:tcPr>
            <w:tcW w:w="0" w:type="auto"/>
          </w:tcPr>
          <w:p w14:paraId="25269F2E" w14:textId="77777777" w:rsidR="00AC0E14" w:rsidRDefault="00000000">
            <w:pPr>
              <w:pStyle w:val="Compact"/>
              <w:jc w:val="right"/>
            </w:pPr>
            <w:r>
              <w:t>90%</w:t>
            </w:r>
          </w:p>
        </w:tc>
      </w:tr>
      <w:tr w:rsidR="00AC0E14" w14:paraId="69FBC145" w14:textId="77777777">
        <w:tc>
          <w:tcPr>
            <w:tcW w:w="0" w:type="auto"/>
          </w:tcPr>
          <w:p w14:paraId="2A60E7A3" w14:textId="77777777" w:rsidR="00AC0E14" w:rsidRDefault="00000000">
            <w:pPr>
              <w:pStyle w:val="Compact"/>
            </w:pPr>
            <w:r>
              <w:t>NCCTG lung cancer</w:t>
            </w:r>
          </w:p>
        </w:tc>
        <w:tc>
          <w:tcPr>
            <w:tcW w:w="0" w:type="auto"/>
          </w:tcPr>
          <w:p w14:paraId="62A316B4" w14:textId="77777777" w:rsidR="00AC0E14" w:rsidRDefault="00000000">
            <w:pPr>
              <w:pStyle w:val="Compact"/>
              <w:jc w:val="right"/>
            </w:pPr>
            <w:r>
              <w:t>60</w:t>
            </w:r>
          </w:p>
        </w:tc>
        <w:tc>
          <w:tcPr>
            <w:tcW w:w="0" w:type="auto"/>
          </w:tcPr>
          <w:p w14:paraId="25AAE3F7" w14:textId="77777777" w:rsidR="00AC0E14" w:rsidRDefault="00000000">
            <w:pPr>
              <w:pStyle w:val="Compact"/>
              <w:jc w:val="right"/>
            </w:pPr>
            <w:r>
              <w:t>31</w:t>
            </w:r>
          </w:p>
        </w:tc>
        <w:tc>
          <w:tcPr>
            <w:tcW w:w="0" w:type="auto"/>
          </w:tcPr>
          <w:p w14:paraId="27F835C7" w14:textId="77777777" w:rsidR="00AC0E14" w:rsidRDefault="00000000">
            <w:pPr>
              <w:pStyle w:val="Compact"/>
              <w:jc w:val="right"/>
            </w:pPr>
            <w:r>
              <w:t>2</w:t>
            </w:r>
          </w:p>
        </w:tc>
        <w:tc>
          <w:tcPr>
            <w:tcW w:w="0" w:type="auto"/>
          </w:tcPr>
          <w:p w14:paraId="7833CBDC" w14:textId="77777777" w:rsidR="00AC0E14" w:rsidRDefault="00000000">
            <w:pPr>
              <w:pStyle w:val="Compact"/>
              <w:jc w:val="right"/>
            </w:pPr>
            <w:r>
              <w:t>0</w:t>
            </w:r>
          </w:p>
        </w:tc>
        <w:tc>
          <w:tcPr>
            <w:tcW w:w="0" w:type="auto"/>
          </w:tcPr>
          <w:p w14:paraId="7620BC71" w14:textId="77777777" w:rsidR="00AC0E14" w:rsidRDefault="00000000">
            <w:pPr>
              <w:pStyle w:val="Compact"/>
              <w:jc w:val="right"/>
            </w:pPr>
            <w:r>
              <w:t>0</w:t>
            </w:r>
          </w:p>
        </w:tc>
        <w:tc>
          <w:tcPr>
            <w:tcW w:w="0" w:type="auto"/>
          </w:tcPr>
          <w:p w14:paraId="60EA2F43" w14:textId="77777777" w:rsidR="00AC0E14" w:rsidRDefault="00000000">
            <w:pPr>
              <w:pStyle w:val="Compact"/>
              <w:jc w:val="right"/>
            </w:pPr>
            <w:r>
              <w:t>0</w:t>
            </w:r>
          </w:p>
        </w:tc>
        <w:tc>
          <w:tcPr>
            <w:tcW w:w="0" w:type="auto"/>
          </w:tcPr>
          <w:p w14:paraId="1324130E" w14:textId="77777777" w:rsidR="00AC0E14" w:rsidRDefault="00000000">
            <w:pPr>
              <w:pStyle w:val="Compact"/>
              <w:jc w:val="right"/>
            </w:pPr>
            <w:r>
              <w:t>0</w:t>
            </w:r>
          </w:p>
        </w:tc>
      </w:tr>
      <w:tr w:rsidR="00AC0E14" w14:paraId="3E57EFE5" w14:textId="77777777">
        <w:tc>
          <w:tcPr>
            <w:tcW w:w="0" w:type="auto"/>
          </w:tcPr>
          <w:p w14:paraId="7A327551" w14:textId="77777777" w:rsidR="00AC0E14" w:rsidRDefault="00000000">
            <w:pPr>
              <w:pStyle w:val="Compact"/>
            </w:pPr>
            <w:r>
              <w:t>Colon cancer</w:t>
            </w:r>
          </w:p>
        </w:tc>
        <w:tc>
          <w:tcPr>
            <w:tcW w:w="0" w:type="auto"/>
          </w:tcPr>
          <w:p w14:paraId="7CCB8AED" w14:textId="77777777" w:rsidR="00AC0E14" w:rsidRDefault="00000000">
            <w:pPr>
              <w:pStyle w:val="Compact"/>
              <w:jc w:val="right"/>
            </w:pPr>
            <w:r>
              <w:t>55</w:t>
            </w:r>
          </w:p>
        </w:tc>
        <w:tc>
          <w:tcPr>
            <w:tcW w:w="0" w:type="auto"/>
          </w:tcPr>
          <w:p w14:paraId="279D9285" w14:textId="77777777" w:rsidR="00AC0E14" w:rsidRDefault="00000000">
            <w:pPr>
              <w:pStyle w:val="Compact"/>
              <w:jc w:val="right"/>
            </w:pPr>
            <w:r>
              <w:t>11</w:t>
            </w:r>
          </w:p>
        </w:tc>
        <w:tc>
          <w:tcPr>
            <w:tcW w:w="0" w:type="auto"/>
          </w:tcPr>
          <w:p w14:paraId="630ACBDC" w14:textId="77777777" w:rsidR="00AC0E14" w:rsidRDefault="00000000">
            <w:pPr>
              <w:pStyle w:val="Compact"/>
              <w:jc w:val="right"/>
            </w:pPr>
            <w:r>
              <w:t>0</w:t>
            </w:r>
          </w:p>
        </w:tc>
        <w:tc>
          <w:tcPr>
            <w:tcW w:w="0" w:type="auto"/>
          </w:tcPr>
          <w:p w14:paraId="303BA511" w14:textId="77777777" w:rsidR="00AC0E14" w:rsidRDefault="00000000">
            <w:pPr>
              <w:pStyle w:val="Compact"/>
              <w:jc w:val="right"/>
            </w:pPr>
            <w:r>
              <w:t>0</w:t>
            </w:r>
          </w:p>
        </w:tc>
        <w:tc>
          <w:tcPr>
            <w:tcW w:w="0" w:type="auto"/>
          </w:tcPr>
          <w:p w14:paraId="7B385776" w14:textId="77777777" w:rsidR="00AC0E14" w:rsidRDefault="00000000">
            <w:pPr>
              <w:pStyle w:val="Compact"/>
              <w:jc w:val="right"/>
            </w:pPr>
            <w:r>
              <w:t>0</w:t>
            </w:r>
          </w:p>
        </w:tc>
        <w:tc>
          <w:tcPr>
            <w:tcW w:w="0" w:type="auto"/>
          </w:tcPr>
          <w:p w14:paraId="3B804559" w14:textId="77777777" w:rsidR="00AC0E14" w:rsidRDefault="00000000">
            <w:pPr>
              <w:pStyle w:val="Compact"/>
              <w:jc w:val="right"/>
            </w:pPr>
            <w:r>
              <w:t>0</w:t>
            </w:r>
          </w:p>
        </w:tc>
        <w:tc>
          <w:tcPr>
            <w:tcW w:w="0" w:type="auto"/>
          </w:tcPr>
          <w:p w14:paraId="42F14E5C" w14:textId="77777777" w:rsidR="00AC0E14" w:rsidRDefault="00000000">
            <w:pPr>
              <w:pStyle w:val="Compact"/>
              <w:jc w:val="right"/>
            </w:pPr>
            <w:r>
              <w:t>0</w:t>
            </w:r>
          </w:p>
        </w:tc>
      </w:tr>
      <w:tr w:rsidR="00AC0E14" w14:paraId="6BE0FAF6" w14:textId="77777777">
        <w:tc>
          <w:tcPr>
            <w:tcW w:w="0" w:type="auto"/>
          </w:tcPr>
          <w:p w14:paraId="4E9B012D" w14:textId="77777777" w:rsidR="00AC0E14" w:rsidRDefault="00000000">
            <w:pPr>
              <w:pStyle w:val="Compact"/>
            </w:pPr>
            <w:r>
              <w:t>MGUS</w:t>
            </w:r>
          </w:p>
        </w:tc>
        <w:tc>
          <w:tcPr>
            <w:tcW w:w="0" w:type="auto"/>
          </w:tcPr>
          <w:p w14:paraId="2B890526" w14:textId="77777777" w:rsidR="00AC0E14" w:rsidRDefault="00000000">
            <w:pPr>
              <w:pStyle w:val="Compact"/>
              <w:jc w:val="right"/>
            </w:pPr>
            <w:r>
              <w:t>57</w:t>
            </w:r>
          </w:p>
        </w:tc>
        <w:tc>
          <w:tcPr>
            <w:tcW w:w="0" w:type="auto"/>
          </w:tcPr>
          <w:p w14:paraId="42974890" w14:textId="77777777" w:rsidR="00AC0E14" w:rsidRDefault="00000000">
            <w:pPr>
              <w:pStyle w:val="Compact"/>
              <w:jc w:val="right"/>
            </w:pPr>
            <w:r>
              <w:t>48</w:t>
            </w:r>
          </w:p>
        </w:tc>
        <w:tc>
          <w:tcPr>
            <w:tcW w:w="0" w:type="auto"/>
          </w:tcPr>
          <w:p w14:paraId="40C79A46" w14:textId="77777777" w:rsidR="00AC0E14" w:rsidRDefault="00000000">
            <w:pPr>
              <w:pStyle w:val="Compact"/>
              <w:jc w:val="right"/>
            </w:pPr>
            <w:r>
              <w:t>23</w:t>
            </w:r>
          </w:p>
        </w:tc>
        <w:tc>
          <w:tcPr>
            <w:tcW w:w="0" w:type="auto"/>
          </w:tcPr>
          <w:p w14:paraId="447640BA" w14:textId="77777777" w:rsidR="00AC0E14" w:rsidRDefault="00000000">
            <w:pPr>
              <w:pStyle w:val="Compact"/>
              <w:jc w:val="right"/>
            </w:pPr>
            <w:r>
              <w:t>1</w:t>
            </w:r>
          </w:p>
        </w:tc>
        <w:tc>
          <w:tcPr>
            <w:tcW w:w="0" w:type="auto"/>
          </w:tcPr>
          <w:p w14:paraId="079DFC7C" w14:textId="77777777" w:rsidR="00AC0E14" w:rsidRDefault="00000000">
            <w:pPr>
              <w:pStyle w:val="Compact"/>
              <w:jc w:val="right"/>
            </w:pPr>
            <w:r>
              <w:t>0</w:t>
            </w:r>
          </w:p>
        </w:tc>
        <w:tc>
          <w:tcPr>
            <w:tcW w:w="0" w:type="auto"/>
          </w:tcPr>
          <w:p w14:paraId="52EBDD83" w14:textId="77777777" w:rsidR="00AC0E14" w:rsidRDefault="00000000">
            <w:pPr>
              <w:pStyle w:val="Compact"/>
              <w:jc w:val="right"/>
            </w:pPr>
            <w:r>
              <w:t>0</w:t>
            </w:r>
          </w:p>
        </w:tc>
        <w:tc>
          <w:tcPr>
            <w:tcW w:w="0" w:type="auto"/>
          </w:tcPr>
          <w:p w14:paraId="3D9DDAD5" w14:textId="77777777" w:rsidR="00AC0E14" w:rsidRDefault="00000000">
            <w:pPr>
              <w:pStyle w:val="Compact"/>
              <w:jc w:val="right"/>
            </w:pPr>
            <w:r>
              <w:t>1</w:t>
            </w:r>
          </w:p>
        </w:tc>
      </w:tr>
      <w:tr w:rsidR="00AC0E14" w14:paraId="70163ACA" w14:textId="77777777">
        <w:tc>
          <w:tcPr>
            <w:tcW w:w="0" w:type="auto"/>
          </w:tcPr>
          <w:p w14:paraId="3108AA8D" w14:textId="77777777" w:rsidR="00AC0E14" w:rsidRDefault="00000000">
            <w:pPr>
              <w:pStyle w:val="Compact"/>
            </w:pPr>
            <w:r>
              <w:t>GBSG breast cancer (RFS)</w:t>
            </w:r>
          </w:p>
        </w:tc>
        <w:tc>
          <w:tcPr>
            <w:tcW w:w="0" w:type="auto"/>
          </w:tcPr>
          <w:p w14:paraId="3483AE60" w14:textId="77777777" w:rsidR="00AC0E14" w:rsidRDefault="00000000">
            <w:pPr>
              <w:pStyle w:val="Compact"/>
              <w:jc w:val="right"/>
            </w:pPr>
            <w:r>
              <w:t>63</w:t>
            </w:r>
          </w:p>
        </w:tc>
        <w:tc>
          <w:tcPr>
            <w:tcW w:w="0" w:type="auto"/>
          </w:tcPr>
          <w:p w14:paraId="3AC579D5" w14:textId="77777777" w:rsidR="00AC0E14" w:rsidRDefault="00000000">
            <w:pPr>
              <w:pStyle w:val="Compact"/>
              <w:jc w:val="right"/>
            </w:pPr>
            <w:r>
              <w:t>39</w:t>
            </w:r>
          </w:p>
        </w:tc>
        <w:tc>
          <w:tcPr>
            <w:tcW w:w="0" w:type="auto"/>
          </w:tcPr>
          <w:p w14:paraId="44DFBBDE" w14:textId="77777777" w:rsidR="00AC0E14" w:rsidRDefault="00000000">
            <w:pPr>
              <w:pStyle w:val="Compact"/>
              <w:jc w:val="right"/>
            </w:pPr>
            <w:r>
              <w:t>4</w:t>
            </w:r>
          </w:p>
        </w:tc>
        <w:tc>
          <w:tcPr>
            <w:tcW w:w="0" w:type="auto"/>
          </w:tcPr>
          <w:p w14:paraId="5637052B" w14:textId="77777777" w:rsidR="00AC0E14" w:rsidRDefault="00000000">
            <w:pPr>
              <w:pStyle w:val="Compact"/>
              <w:jc w:val="right"/>
            </w:pPr>
            <w:r>
              <w:t>0</w:t>
            </w:r>
          </w:p>
        </w:tc>
        <w:tc>
          <w:tcPr>
            <w:tcW w:w="0" w:type="auto"/>
          </w:tcPr>
          <w:p w14:paraId="17CE3471" w14:textId="77777777" w:rsidR="00AC0E14" w:rsidRDefault="00000000">
            <w:pPr>
              <w:pStyle w:val="Compact"/>
              <w:jc w:val="right"/>
            </w:pPr>
            <w:r>
              <w:t>0</w:t>
            </w:r>
          </w:p>
        </w:tc>
        <w:tc>
          <w:tcPr>
            <w:tcW w:w="0" w:type="auto"/>
          </w:tcPr>
          <w:p w14:paraId="5CBE8327" w14:textId="77777777" w:rsidR="00AC0E14" w:rsidRDefault="00000000">
            <w:pPr>
              <w:pStyle w:val="Compact"/>
              <w:jc w:val="right"/>
            </w:pPr>
            <w:r>
              <w:t>0</w:t>
            </w:r>
          </w:p>
        </w:tc>
        <w:tc>
          <w:tcPr>
            <w:tcW w:w="0" w:type="auto"/>
          </w:tcPr>
          <w:p w14:paraId="13BA608A" w14:textId="77777777" w:rsidR="00AC0E14" w:rsidRDefault="00000000">
            <w:pPr>
              <w:pStyle w:val="Compact"/>
              <w:jc w:val="right"/>
            </w:pPr>
            <w:r>
              <w:t>0</w:t>
            </w:r>
          </w:p>
        </w:tc>
      </w:tr>
      <w:tr w:rsidR="00AC0E14" w14:paraId="5CD96566" w14:textId="77777777">
        <w:tc>
          <w:tcPr>
            <w:tcW w:w="0" w:type="auto"/>
          </w:tcPr>
          <w:p w14:paraId="1FDA3B1D" w14:textId="77777777" w:rsidR="00AC0E14" w:rsidRDefault="00000000">
            <w:pPr>
              <w:pStyle w:val="Compact"/>
            </w:pPr>
            <w:r>
              <w:t>Rotterdam breast cancer</w:t>
            </w:r>
          </w:p>
        </w:tc>
        <w:tc>
          <w:tcPr>
            <w:tcW w:w="0" w:type="auto"/>
          </w:tcPr>
          <w:p w14:paraId="121A9863" w14:textId="77777777" w:rsidR="00AC0E14" w:rsidRDefault="00000000">
            <w:pPr>
              <w:pStyle w:val="Compact"/>
              <w:jc w:val="right"/>
            </w:pPr>
            <w:r>
              <w:t>66</w:t>
            </w:r>
          </w:p>
        </w:tc>
        <w:tc>
          <w:tcPr>
            <w:tcW w:w="0" w:type="auto"/>
          </w:tcPr>
          <w:p w14:paraId="2154C111" w14:textId="77777777" w:rsidR="00AC0E14" w:rsidRDefault="00000000">
            <w:pPr>
              <w:pStyle w:val="Compact"/>
              <w:jc w:val="right"/>
            </w:pPr>
            <w:r>
              <w:t>39</w:t>
            </w:r>
          </w:p>
        </w:tc>
        <w:tc>
          <w:tcPr>
            <w:tcW w:w="0" w:type="auto"/>
          </w:tcPr>
          <w:p w14:paraId="4B7F7E5E" w14:textId="77777777" w:rsidR="00AC0E14" w:rsidRDefault="00000000">
            <w:pPr>
              <w:pStyle w:val="Compact"/>
              <w:jc w:val="right"/>
            </w:pPr>
            <w:r>
              <w:t>8</w:t>
            </w:r>
          </w:p>
        </w:tc>
        <w:tc>
          <w:tcPr>
            <w:tcW w:w="0" w:type="auto"/>
          </w:tcPr>
          <w:p w14:paraId="751FCA24" w14:textId="77777777" w:rsidR="00AC0E14" w:rsidRDefault="00000000">
            <w:pPr>
              <w:pStyle w:val="Compact"/>
              <w:jc w:val="right"/>
            </w:pPr>
            <w:r>
              <w:t>0</w:t>
            </w:r>
          </w:p>
        </w:tc>
        <w:tc>
          <w:tcPr>
            <w:tcW w:w="0" w:type="auto"/>
          </w:tcPr>
          <w:p w14:paraId="5F9AB9CB" w14:textId="77777777" w:rsidR="00AC0E14" w:rsidRDefault="00000000">
            <w:pPr>
              <w:pStyle w:val="Compact"/>
              <w:jc w:val="right"/>
            </w:pPr>
            <w:r>
              <w:t>0</w:t>
            </w:r>
          </w:p>
        </w:tc>
        <w:tc>
          <w:tcPr>
            <w:tcW w:w="0" w:type="auto"/>
          </w:tcPr>
          <w:p w14:paraId="4DD67E2E" w14:textId="77777777" w:rsidR="00AC0E14" w:rsidRDefault="00000000">
            <w:pPr>
              <w:pStyle w:val="Compact"/>
              <w:jc w:val="right"/>
            </w:pPr>
            <w:r>
              <w:t>0</w:t>
            </w:r>
          </w:p>
        </w:tc>
        <w:tc>
          <w:tcPr>
            <w:tcW w:w="0" w:type="auto"/>
          </w:tcPr>
          <w:p w14:paraId="38B397F5" w14:textId="77777777" w:rsidR="00AC0E14" w:rsidRDefault="00000000">
            <w:pPr>
              <w:pStyle w:val="Compact"/>
              <w:jc w:val="right"/>
            </w:pPr>
            <w:r>
              <w:t>0</w:t>
            </w:r>
          </w:p>
        </w:tc>
      </w:tr>
      <w:tr w:rsidR="00AC0E14" w14:paraId="2CC18C43" w14:textId="77777777">
        <w:tc>
          <w:tcPr>
            <w:tcW w:w="0" w:type="auto"/>
          </w:tcPr>
          <w:p w14:paraId="1B13DA44" w14:textId="77777777" w:rsidR="00AC0E14" w:rsidRDefault="00000000">
            <w:pPr>
              <w:pStyle w:val="Compact"/>
            </w:pPr>
            <w:r>
              <w:t>Veterans’ lung cancer</w:t>
            </w:r>
          </w:p>
        </w:tc>
        <w:tc>
          <w:tcPr>
            <w:tcW w:w="0" w:type="auto"/>
          </w:tcPr>
          <w:p w14:paraId="63A91EDE" w14:textId="77777777" w:rsidR="00AC0E14" w:rsidRDefault="00000000">
            <w:pPr>
              <w:pStyle w:val="Compact"/>
              <w:jc w:val="right"/>
            </w:pPr>
            <w:r>
              <w:t>64</w:t>
            </w:r>
          </w:p>
        </w:tc>
        <w:tc>
          <w:tcPr>
            <w:tcW w:w="0" w:type="auto"/>
          </w:tcPr>
          <w:p w14:paraId="6A122561" w14:textId="77777777" w:rsidR="00AC0E14" w:rsidRDefault="00000000">
            <w:pPr>
              <w:pStyle w:val="Compact"/>
              <w:jc w:val="right"/>
            </w:pPr>
            <w:r>
              <w:t>47</w:t>
            </w:r>
          </w:p>
        </w:tc>
        <w:tc>
          <w:tcPr>
            <w:tcW w:w="0" w:type="auto"/>
          </w:tcPr>
          <w:p w14:paraId="5530E84F" w14:textId="77777777" w:rsidR="00AC0E14" w:rsidRDefault="00000000">
            <w:pPr>
              <w:pStyle w:val="Compact"/>
              <w:jc w:val="right"/>
            </w:pPr>
            <w:r>
              <w:t>14</w:t>
            </w:r>
          </w:p>
        </w:tc>
        <w:tc>
          <w:tcPr>
            <w:tcW w:w="0" w:type="auto"/>
          </w:tcPr>
          <w:p w14:paraId="504CF205" w14:textId="77777777" w:rsidR="00AC0E14" w:rsidRDefault="00000000">
            <w:pPr>
              <w:pStyle w:val="Compact"/>
              <w:jc w:val="right"/>
            </w:pPr>
            <w:r>
              <w:t>0</w:t>
            </w:r>
          </w:p>
        </w:tc>
        <w:tc>
          <w:tcPr>
            <w:tcW w:w="0" w:type="auto"/>
          </w:tcPr>
          <w:p w14:paraId="32ED830F" w14:textId="77777777" w:rsidR="00AC0E14" w:rsidRDefault="00000000">
            <w:pPr>
              <w:pStyle w:val="Compact"/>
              <w:jc w:val="right"/>
            </w:pPr>
            <w:r>
              <w:t>1</w:t>
            </w:r>
          </w:p>
        </w:tc>
        <w:tc>
          <w:tcPr>
            <w:tcW w:w="0" w:type="auto"/>
          </w:tcPr>
          <w:p w14:paraId="5CC996BC" w14:textId="77777777" w:rsidR="00AC0E14" w:rsidRDefault="00000000">
            <w:pPr>
              <w:pStyle w:val="Compact"/>
              <w:jc w:val="right"/>
            </w:pPr>
            <w:r>
              <w:t>4</w:t>
            </w:r>
          </w:p>
        </w:tc>
        <w:tc>
          <w:tcPr>
            <w:tcW w:w="0" w:type="auto"/>
          </w:tcPr>
          <w:p w14:paraId="3CA8A4A8" w14:textId="77777777" w:rsidR="00AC0E14" w:rsidRDefault="00000000">
            <w:pPr>
              <w:pStyle w:val="Compact"/>
              <w:jc w:val="right"/>
            </w:pPr>
            <w:r>
              <w:t>25</w:t>
            </w:r>
          </w:p>
        </w:tc>
      </w:tr>
      <w:tr w:rsidR="00AC0E14" w14:paraId="22039ADC" w14:textId="77777777">
        <w:tc>
          <w:tcPr>
            <w:tcW w:w="0" w:type="auto"/>
          </w:tcPr>
          <w:p w14:paraId="182EA7E8" w14:textId="77777777" w:rsidR="00AC0E14" w:rsidRDefault="00000000">
            <w:pPr>
              <w:pStyle w:val="Compact"/>
            </w:pPr>
            <w:r>
              <w:t>Serum free light chain</w:t>
            </w:r>
          </w:p>
        </w:tc>
        <w:tc>
          <w:tcPr>
            <w:tcW w:w="0" w:type="auto"/>
          </w:tcPr>
          <w:p w14:paraId="50EC2049" w14:textId="77777777" w:rsidR="00AC0E14" w:rsidRDefault="00000000">
            <w:pPr>
              <w:pStyle w:val="Compact"/>
              <w:jc w:val="right"/>
            </w:pPr>
            <w:r>
              <w:t>74</w:t>
            </w:r>
          </w:p>
        </w:tc>
        <w:tc>
          <w:tcPr>
            <w:tcW w:w="0" w:type="auto"/>
          </w:tcPr>
          <w:p w14:paraId="0D9F626B" w14:textId="77777777" w:rsidR="00AC0E14" w:rsidRDefault="00000000">
            <w:pPr>
              <w:pStyle w:val="Compact"/>
              <w:jc w:val="right"/>
            </w:pPr>
            <w:r>
              <w:t>64</w:t>
            </w:r>
          </w:p>
        </w:tc>
        <w:tc>
          <w:tcPr>
            <w:tcW w:w="0" w:type="auto"/>
          </w:tcPr>
          <w:p w14:paraId="368F6ACE" w14:textId="77777777" w:rsidR="00AC0E14" w:rsidRDefault="00000000">
            <w:pPr>
              <w:pStyle w:val="Compact"/>
              <w:jc w:val="right"/>
            </w:pPr>
            <w:r>
              <w:t>48</w:t>
            </w:r>
          </w:p>
        </w:tc>
        <w:tc>
          <w:tcPr>
            <w:tcW w:w="0" w:type="auto"/>
          </w:tcPr>
          <w:p w14:paraId="370122B3" w14:textId="77777777" w:rsidR="00AC0E14" w:rsidRDefault="00000000">
            <w:pPr>
              <w:pStyle w:val="Compact"/>
              <w:jc w:val="right"/>
            </w:pPr>
            <w:r>
              <w:t>32</w:t>
            </w:r>
          </w:p>
        </w:tc>
        <w:tc>
          <w:tcPr>
            <w:tcW w:w="0" w:type="auto"/>
          </w:tcPr>
          <w:p w14:paraId="419CF9E7" w14:textId="77777777" w:rsidR="00AC0E14" w:rsidRDefault="00000000">
            <w:pPr>
              <w:pStyle w:val="Compact"/>
              <w:jc w:val="right"/>
            </w:pPr>
            <w:r>
              <w:t>12</w:t>
            </w:r>
          </w:p>
        </w:tc>
        <w:tc>
          <w:tcPr>
            <w:tcW w:w="0" w:type="auto"/>
          </w:tcPr>
          <w:p w14:paraId="3E2BFAB2" w14:textId="77777777" w:rsidR="00AC0E14" w:rsidRDefault="00000000">
            <w:pPr>
              <w:pStyle w:val="Compact"/>
              <w:jc w:val="right"/>
            </w:pPr>
            <w:r>
              <w:t>3</w:t>
            </w:r>
          </w:p>
        </w:tc>
        <w:tc>
          <w:tcPr>
            <w:tcW w:w="0" w:type="auto"/>
          </w:tcPr>
          <w:p w14:paraId="383D4818" w14:textId="77777777" w:rsidR="00AC0E14" w:rsidRDefault="00000000">
            <w:pPr>
              <w:pStyle w:val="Compact"/>
              <w:jc w:val="right"/>
            </w:pPr>
            <w:r>
              <w:t>1</w:t>
            </w:r>
          </w:p>
        </w:tc>
      </w:tr>
      <w:tr w:rsidR="00AC0E14" w14:paraId="502160A6" w14:textId="77777777">
        <w:tc>
          <w:tcPr>
            <w:tcW w:w="0" w:type="auto"/>
          </w:tcPr>
          <w:p w14:paraId="7F58B11A" w14:textId="77777777" w:rsidR="00AC0E14" w:rsidRDefault="00000000">
            <w:pPr>
              <w:pStyle w:val="Compact"/>
            </w:pPr>
            <w:r>
              <w:lastRenderedPageBreak/>
              <w:t>Primary biliary cholangitis</w:t>
            </w:r>
          </w:p>
        </w:tc>
        <w:tc>
          <w:tcPr>
            <w:tcW w:w="0" w:type="auto"/>
          </w:tcPr>
          <w:p w14:paraId="088F21B8" w14:textId="77777777" w:rsidR="00AC0E14" w:rsidRDefault="00000000">
            <w:pPr>
              <w:pStyle w:val="Compact"/>
              <w:jc w:val="right"/>
            </w:pPr>
            <w:r>
              <w:t>81</w:t>
            </w:r>
          </w:p>
        </w:tc>
        <w:tc>
          <w:tcPr>
            <w:tcW w:w="0" w:type="auto"/>
          </w:tcPr>
          <w:p w14:paraId="760D3947" w14:textId="77777777" w:rsidR="00AC0E14" w:rsidRDefault="00000000">
            <w:pPr>
              <w:pStyle w:val="Compact"/>
              <w:jc w:val="right"/>
            </w:pPr>
            <w:r>
              <w:t>67</w:t>
            </w:r>
          </w:p>
        </w:tc>
        <w:tc>
          <w:tcPr>
            <w:tcW w:w="0" w:type="auto"/>
          </w:tcPr>
          <w:p w14:paraId="745B43CA" w14:textId="77777777" w:rsidR="00AC0E14" w:rsidRDefault="00000000">
            <w:pPr>
              <w:pStyle w:val="Compact"/>
              <w:jc w:val="right"/>
            </w:pPr>
            <w:r>
              <w:t>49</w:t>
            </w:r>
          </w:p>
        </w:tc>
        <w:tc>
          <w:tcPr>
            <w:tcW w:w="0" w:type="auto"/>
          </w:tcPr>
          <w:p w14:paraId="6C4484E8" w14:textId="77777777" w:rsidR="00AC0E14" w:rsidRDefault="00000000">
            <w:pPr>
              <w:pStyle w:val="Compact"/>
              <w:jc w:val="right"/>
            </w:pPr>
            <w:r>
              <w:t>33</w:t>
            </w:r>
          </w:p>
        </w:tc>
        <w:tc>
          <w:tcPr>
            <w:tcW w:w="0" w:type="auto"/>
          </w:tcPr>
          <w:p w14:paraId="1BABA11C" w14:textId="77777777" w:rsidR="00AC0E14" w:rsidRDefault="00000000">
            <w:pPr>
              <w:pStyle w:val="Compact"/>
              <w:jc w:val="right"/>
            </w:pPr>
            <w:r>
              <w:t>13</w:t>
            </w:r>
          </w:p>
        </w:tc>
        <w:tc>
          <w:tcPr>
            <w:tcW w:w="0" w:type="auto"/>
          </w:tcPr>
          <w:p w14:paraId="22506725" w14:textId="77777777" w:rsidR="00AC0E14" w:rsidRDefault="00000000">
            <w:pPr>
              <w:pStyle w:val="Compact"/>
              <w:jc w:val="right"/>
            </w:pPr>
            <w:r>
              <w:t>6</w:t>
            </w:r>
          </w:p>
        </w:tc>
        <w:tc>
          <w:tcPr>
            <w:tcW w:w="0" w:type="auto"/>
          </w:tcPr>
          <w:p w14:paraId="0191C439" w14:textId="77777777" w:rsidR="00AC0E14" w:rsidRDefault="00000000">
            <w:pPr>
              <w:pStyle w:val="Compact"/>
              <w:jc w:val="right"/>
            </w:pPr>
            <w:r>
              <w:t>7</w:t>
            </w:r>
          </w:p>
        </w:tc>
      </w:tr>
    </w:tbl>
    <w:p w14:paraId="2B85A503" w14:textId="77777777" w:rsidR="00AC0E14" w:rsidRDefault="00000000">
      <w:r>
        <w:br w:type="page"/>
      </w:r>
    </w:p>
    <w:p w14:paraId="411827D3" w14:textId="77777777" w:rsidR="00AC0E14" w:rsidRDefault="00000000">
      <w:pPr>
        <w:pStyle w:val="Heading1"/>
      </w:pPr>
      <w:bookmarkStart w:id="12" w:name="Xc973c8e6621264d18ac5a6439777a04475412a1"/>
      <w:bookmarkStart w:id="13" w:name="_Toc244093843"/>
      <w:bookmarkEnd w:id="10"/>
      <w:r>
        <w:lastRenderedPageBreak/>
        <w:t xml:space="preserve">Supplement 7: Simulation to understand the behavior of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bookmarkEnd w:id="13"/>
    </w:p>
    <w:p w14:paraId="56BCAB48" w14:textId="77777777" w:rsidR="00AC0E14" w:rsidRDefault="00000000">
      <w:pPr>
        <w:pStyle w:val="FirstParagraph"/>
      </w:pPr>
      <w:r>
        <w:t xml:space="preserve">We did two simulation studies. The first investigated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early in follow-up in a large dataset without censoring. The second investigated for which survival probabilities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exceeded the development sample size </w:t>
      </w:r>
      <m:oMath>
        <m:r>
          <w:rPr>
            <w:rFonts w:ascii="Cambria Math" w:hAnsi="Cambria Math"/>
          </w:rPr>
          <m:t>N</m:t>
        </m:r>
      </m:oMath>
      <w:r>
        <w:t xml:space="preserve">, and whether the variance on which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is based is valid. Both are reported according to the ADEMP framework (aims, data-generating mechanisms, estimands, methods and performance measures).</w:t>
      </w:r>
      <w:r>
        <w:rPr>
          <w:vertAlign w:val="superscript"/>
        </w:rPr>
        <w:t>3</w:t>
      </w:r>
    </w:p>
    <w:p w14:paraId="1F03DCFF" w14:textId="77777777" w:rsidR="00AC0E14" w:rsidRDefault="00000000">
      <w:pPr>
        <w:pStyle w:val="Heading2"/>
      </w:pPr>
      <w:bookmarkStart w:id="14" w:name="simulation-1-early-in-follow-up"/>
      <w:r>
        <w:t>Simulation 1: early in follow-up</w:t>
      </w:r>
    </w:p>
    <w:p w14:paraId="7241F56E" w14:textId="77777777" w:rsidR="00AC0E14" w:rsidRDefault="00000000">
      <w:pPr>
        <w:pStyle w:val="FirstParagraph"/>
      </w:pPr>
      <w:r>
        <w:rPr>
          <w:b/>
          <w:bCs/>
        </w:rPr>
        <w:t>Aims.</w:t>
      </w:r>
      <w:r>
        <w:t xml:space="preserve"> We wanted</w:t>
      </w:r>
    </w:p>
    <w:p w14:paraId="67717226" w14:textId="77777777" w:rsidR="00AC0E14" w:rsidRDefault="00000000">
      <w:pPr>
        <w:pStyle w:val="Compact"/>
        <w:numPr>
          <w:ilvl w:val="0"/>
          <w:numId w:val="2"/>
        </w:numPr>
      </w:pPr>
      <w:r>
        <w:t xml:space="preserve">to verify that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occurs early in follow-up for patients with a lower hazard than the average patient;</w:t>
      </w:r>
    </w:p>
    <w:p w14:paraId="0634F8F2" w14:textId="77777777" w:rsidR="00AC0E14" w:rsidRDefault="00000000">
      <w:pPr>
        <w:pStyle w:val="Compact"/>
        <w:numPr>
          <w:ilvl w:val="0"/>
          <w:numId w:val="2"/>
        </w:numPr>
      </w:pPr>
      <w:r>
        <w:t>to assess how the variance of the survival estimate is divided into a part from the baseline hazard and a part from the coefficient and how this division changes over time.</w:t>
      </w:r>
    </w:p>
    <w:p w14:paraId="393F06EC" w14:textId="77777777" w:rsidR="00AC0E14" w:rsidRDefault="00000000">
      <w:pPr>
        <w:pStyle w:val="FirstParagraph"/>
      </w:pPr>
      <w:r>
        <w:t xml:space="preserve">Based on the results, we might find a heuristic calculation for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early on in follow-up.</w:t>
      </w:r>
    </w:p>
    <w:p w14:paraId="41F96F9D" w14:textId="77777777" w:rsidR="00AC0E14" w:rsidRDefault="00000000">
      <w:pPr>
        <w:pStyle w:val="BodyText"/>
      </w:pPr>
      <w:r>
        <w:rPr>
          <w:b/>
          <w:bCs/>
        </w:rPr>
        <w:t>Data-generating mechanisms.</w:t>
      </w:r>
      <w:r>
        <w:t xml:space="preserve"> We simulated </w:t>
      </w:r>
      <m:oMath>
        <m:r>
          <w:rPr>
            <w:rFonts w:ascii="Cambria Math" w:hAnsi="Cambria Math"/>
          </w:rPr>
          <m:t>N</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patients without censoring, with a constant baseline hazard </w:t>
      </w:r>
      <m:oMath>
        <m:sSub>
          <m:sSubPr>
            <m:ctrlPr>
              <w:rPr>
                <w:rFonts w:ascii="Cambria Math" w:hAnsi="Cambria Math"/>
              </w:rPr>
            </m:ctrlPr>
          </m:sSubPr>
          <m:e>
            <m:r>
              <w:rPr>
                <w:rFonts w:ascii="Cambria Math" w:hAnsi="Cambria Math"/>
              </w:rPr>
              <m:t>h</m:t>
            </m:r>
          </m:e>
          <m:sub>
            <m:r>
              <w:rPr>
                <w:rFonts w:ascii="Cambria Math" w:hAnsi="Cambria Math"/>
              </w:rPr>
              <m:t>0</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oMath>
      <w:r>
        <w:t xml:space="preserve"> and one predictor with a hazard ratio of 2. The predictor was either binary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exactly half of the patients with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or continuous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w:t>
      </w:r>
    </w:p>
    <w:p w14:paraId="193BB8BF" w14:textId="77777777" w:rsidR="00AC0E14" w:rsidRDefault="00000000">
      <w:pPr>
        <w:pStyle w:val="BodyText"/>
      </w:pPr>
      <w:r>
        <w:rPr>
          <w:b/>
          <w:bCs/>
        </w:rPr>
        <w:t>Estimands.</w:t>
      </w:r>
      <w:r>
        <w:t xml:space="preserve"> The survival probability and its effective sample size over time for patients with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xml:space="preserve">, and for patients with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m:t>
        </m:r>
      </m:oMath>
      <w:r>
        <w:t xml:space="preserve">, </w:t>
      </w:r>
      <m:oMath>
        <m:r>
          <w:rPr>
            <w:rFonts w:ascii="Cambria Math" w:hAnsi="Cambria Math"/>
          </w:rPr>
          <m:t>0</m:t>
        </m:r>
      </m:oMath>
      <w:r>
        <w:t xml:space="preserve"> and </w:t>
      </w:r>
      <m:oMath>
        <m:r>
          <w:rPr>
            <w:rFonts w:ascii="Cambria Math" w:hAnsi="Cambria Math"/>
          </w:rPr>
          <m:t>1</m:t>
        </m:r>
      </m:oMath>
      <w:r>
        <w:t>.</w:t>
      </w:r>
    </w:p>
    <w:p w14:paraId="232B41A5" w14:textId="77777777" w:rsidR="00AC0E14" w:rsidRDefault="00000000">
      <w:pPr>
        <w:pStyle w:val="BodyText"/>
      </w:pPr>
      <w:r>
        <w:rPr>
          <w:b/>
          <w:bCs/>
        </w:rPr>
        <w:t>Methods.</w:t>
      </w:r>
      <w:r>
        <w:t xml:space="preserve"> We fitted a Cox model with the predictor and calculated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with Equations (2) and (3) in the main text. We divided the variance into the variance from the baseline hazard (first term of Equation (3)) and the variance from the coefficient (second term). For the binary predictor, we used the Kaplan-Meier estimates in the two groups as reference.</w:t>
      </w:r>
    </w:p>
    <w:p w14:paraId="4D820AA4" w14:textId="77777777" w:rsidR="00AC0E14" w:rsidRDefault="00000000">
      <w:pPr>
        <w:pStyle w:val="BodyText"/>
      </w:pPr>
      <w:r>
        <w:rPr>
          <w:b/>
          <w:bCs/>
        </w:rPr>
        <w:t>Performance measures.</w:t>
      </w: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over time and the proportion of the variance that originates from the baseline hazard (Figure 5 of the article). Supplement 8 focuses on the values at the first event.</w:t>
      </w:r>
    </w:p>
    <w:p w14:paraId="10DF1C28" w14:textId="77777777" w:rsidR="00AC0E14" w:rsidRDefault="00000000">
      <w:pPr>
        <w:pStyle w:val="Heading2"/>
      </w:pPr>
      <w:bookmarkStart w:id="15" w:name="Xeb757096eda9015d352b1a169fdf3c6b0cf4ce5"/>
      <w:bookmarkEnd w:id="14"/>
      <w:r>
        <w:t xml:space="preserve">Simulation 2: when does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exceed </w:t>
      </w:r>
      <m:oMath>
        <m:r>
          <w:rPr>
            <w:rFonts w:ascii="Cambria Math" w:hAnsi="Cambria Math"/>
          </w:rPr>
          <m:t>N</m:t>
        </m:r>
      </m:oMath>
      <w:r>
        <w:t xml:space="preserve">, and is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valid?</w:t>
      </w:r>
    </w:p>
    <w:p w14:paraId="5A47F78E" w14:textId="77777777" w:rsidR="00AC0E14" w:rsidRDefault="00000000">
      <w:pPr>
        <w:pStyle w:val="FirstParagraph"/>
      </w:pPr>
      <w:r>
        <w:rPr>
          <w:b/>
          <w:bCs/>
        </w:rPr>
        <w:t>Aims.</w:t>
      </w:r>
    </w:p>
    <w:p w14:paraId="15F0F84D" w14:textId="77777777" w:rsidR="00AC0E14" w:rsidRDefault="00000000">
      <w:pPr>
        <w:pStyle w:val="Compact"/>
        <w:numPr>
          <w:ilvl w:val="0"/>
          <w:numId w:val="3"/>
        </w:numPr>
      </w:pPr>
      <w:r>
        <w:t>We wanted to determine for which true survival probabilities the estimated effective sample size exceeds the development sample size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and how this depends on the event rate, the strength of the model (Harrell’s C of the true linear predictor) and censoring. The event rate is the true marginal probability of an event by time </w:t>
      </w:r>
      <m:oMath>
        <m:r>
          <w:rPr>
            <w:rFonts w:ascii="Cambria Math" w:hAnsi="Cambria Math"/>
          </w:rPr>
          <m:t>τ</m:t>
        </m:r>
      </m:oMath>
      <w:r>
        <w:t xml:space="preserve">, </w:t>
      </w:r>
      <m:oMath>
        <m:r>
          <w:rPr>
            <w:rFonts w:ascii="Cambria Math" w:hAnsi="Cambria Math"/>
          </w:rPr>
          <w:lastRenderedPageBreak/>
          <m:t>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τ</m:t>
            </m:r>
          </m:e>
        </m:d>
      </m:oMath>
      <w:r>
        <w:t xml:space="preserve"> (hereafter “event rate”), where </w:t>
      </w:r>
      <m:oMath>
        <m:r>
          <w:rPr>
            <w:rFonts w:ascii="Cambria Math" w:hAnsi="Cambria Math"/>
          </w:rPr>
          <m:t>τ</m:t>
        </m:r>
      </m:oMath>
      <w:r>
        <w:t xml:space="preserve"> is the end of follow-up and </w:t>
      </w:r>
      <m:oMath>
        <m:r>
          <w:rPr>
            <w:rFonts w:ascii="Cambria Math" w:hAnsi="Cambria Math"/>
          </w:rPr>
          <m:t>S</m:t>
        </m:r>
        <m:d>
          <m:dPr>
            <m:ctrlPr>
              <w:rPr>
                <w:rFonts w:ascii="Cambria Math" w:hAnsi="Cambria Math"/>
              </w:rPr>
            </m:ctrlPr>
          </m:dPr>
          <m:e>
            <m:r>
              <w:rPr>
                <w:rFonts w:ascii="Cambria Math" w:hAnsi="Cambria Math"/>
              </w:rPr>
              <m:t>τ</m:t>
            </m:r>
          </m:e>
        </m:d>
      </m:oMath>
      <w:r>
        <w:t xml:space="preserve"> is the survival probability at </w:t>
      </w:r>
      <m:oMath>
        <m:r>
          <w:rPr>
            <w:rFonts w:ascii="Cambria Math" w:hAnsi="Cambria Math"/>
          </w:rPr>
          <m:t>τ</m:t>
        </m:r>
      </m:oMath>
      <w:r>
        <w:t xml:space="preserve"> averaged over the covariate distribution of the population.</w:t>
      </w:r>
    </w:p>
    <w:p w14:paraId="58726329" w14:textId="77777777" w:rsidR="00AC0E14" w:rsidRDefault="00000000">
      <w:pPr>
        <w:pStyle w:val="Compact"/>
        <w:numPr>
          <w:ilvl w:val="0"/>
          <w:numId w:val="3"/>
        </w:numPr>
      </w:pPr>
      <w:r>
        <w:t xml:space="preserve">We wanted to determine whether the variance estimate underlying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oMath>
      <w:r>
        <w:t xml:space="preserve"> is valid, which we assessed with the coverage of the 95% confidence interval.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is the prediction variance re-expressed with the binomial variance, so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is only meaningful if the variance is accurate.</w:t>
      </w:r>
    </w:p>
    <w:p w14:paraId="3752F6C9" w14:textId="77777777" w:rsidR="00AC0E14" w:rsidRDefault="00000000">
      <w:pPr>
        <w:pStyle w:val="FirstParagraph"/>
      </w:pPr>
      <w:r>
        <w:rPr>
          <w:b/>
          <w:bCs/>
        </w:rPr>
        <w:t>Data-generating mechanisms.</w:t>
      </w:r>
      <w:r>
        <w:t xml:space="preserve"> Event times followed a Weibull proportional hazards model with </w:t>
      </w:r>
      <m:oMath>
        <m:sSub>
          <m:sSubPr>
            <m:ctrlPr>
              <w:rPr>
                <w:rFonts w:ascii="Cambria Math" w:hAnsi="Cambria Math"/>
              </w:rPr>
            </m:ctrlPr>
          </m:sSubPr>
          <m:e>
            <m:r>
              <w:rPr>
                <w:rFonts w:ascii="Cambria Math" w:hAnsi="Cambria Math"/>
              </w:rPr>
              <m:t>H</m:t>
            </m:r>
          </m:e>
          <m:sub>
            <m:r>
              <w:rPr>
                <w:rFonts w:ascii="Cambria Math" w:hAnsi="Cambria Math"/>
              </w:rPr>
              <m:t>0</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λ</m:t>
        </m:r>
        <m:sSup>
          <m:sSupPr>
            <m:ctrlPr>
              <w:rPr>
                <w:rFonts w:ascii="Cambria Math" w:hAnsi="Cambria Math"/>
              </w:rPr>
            </m:ctrlPr>
          </m:sSupPr>
          <m:e>
            <m:r>
              <w:rPr>
                <w:rFonts w:ascii="Cambria Math" w:hAnsi="Cambria Math"/>
              </w:rPr>
              <m:t>t</m:t>
            </m:r>
          </m:e>
          <m:sup>
            <m:r>
              <w:rPr>
                <w:rFonts w:ascii="Cambria Math" w:hAnsi="Cambria Math"/>
              </w:rPr>
              <m:t>γ</m:t>
            </m:r>
          </m:sup>
        </m:sSup>
      </m:oMath>
      <w:r>
        <w:t xml:space="preserve"> and shape </w:t>
      </w:r>
      <m:oMath>
        <m:r>
          <w:rPr>
            <w:rFonts w:ascii="Cambria Math" w:hAnsi="Cambria Math"/>
          </w:rPr>
          <m:t>γ</m:t>
        </m:r>
        <m:r>
          <m:rPr>
            <m:sty m:val="p"/>
          </m:rPr>
          <w:rPr>
            <w:rFonts w:ascii="Cambria Math" w:hAnsi="Cambria Math"/>
          </w:rPr>
          <m:t>=</m:t>
        </m:r>
        <m:r>
          <w:rPr>
            <w:rFonts w:ascii="Cambria Math" w:hAnsi="Cambria Math"/>
          </w:rPr>
          <m:t>1</m:t>
        </m:r>
      </m:oMath>
      <w:r>
        <w:t xml:space="preserve">. Follow-up ended at </w:t>
      </w:r>
      <m:oMath>
        <m:r>
          <w:rPr>
            <w:rFonts w:ascii="Cambria Math" w:hAnsi="Cambria Math"/>
          </w:rPr>
          <m:t>τ</m:t>
        </m:r>
        <m:r>
          <m:rPr>
            <m:sty m:val="p"/>
          </m:rPr>
          <w:rPr>
            <w:rFonts w:ascii="Cambria Math" w:hAnsi="Cambria Math"/>
          </w:rPr>
          <m:t>=</m:t>
        </m:r>
        <m:r>
          <w:rPr>
            <w:rFonts w:ascii="Cambria Math" w:hAnsi="Cambria Math"/>
          </w:rPr>
          <m:t>1</m:t>
        </m:r>
      </m:oMath>
      <w:r>
        <w:t xml:space="preserve"> in all scenarios. We chose </w:t>
      </w:r>
      <m:oMath>
        <m:r>
          <w:rPr>
            <w:rFonts w:ascii="Cambria Math" w:hAnsi="Cambria Math"/>
          </w:rPr>
          <m:t>λ</m:t>
        </m:r>
      </m:oMath>
      <w:r>
        <w:t xml:space="preserve"> such that the event rate </w:t>
      </w:r>
      <m:oMath>
        <m:r>
          <w:rPr>
            <w:rFonts w:ascii="Cambria Math" w:hAnsi="Cambria Math"/>
          </w:rPr>
          <m:t>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τ</m:t>
            </m:r>
          </m:e>
        </m:d>
      </m:oMath>
      <w:r>
        <w:t xml:space="preserve">, with </w:t>
      </w:r>
      <m:oMath>
        <m:r>
          <w:rPr>
            <w:rFonts w:ascii="Cambria Math" w:hAnsi="Cambria Math"/>
          </w:rPr>
          <m:t>S</m:t>
        </m:r>
        <m:d>
          <m:dPr>
            <m:ctrlPr>
              <w:rPr>
                <w:rFonts w:ascii="Cambria Math" w:hAnsi="Cambria Math"/>
              </w:rPr>
            </m:ctrlPr>
          </m:dPr>
          <m:e>
            <m:r>
              <w:rPr>
                <w:rFonts w:ascii="Cambria Math" w:hAnsi="Cambria Math"/>
              </w:rPr>
              <m:t>t</m:t>
            </m:r>
          </m:e>
        </m:d>
      </m:oMath>
      <w:r>
        <w:t xml:space="preserve"> the marginal survival function in the population (averaged over the covariate distribution), took the desired value. The event rate was therefore a property of the hazard and was the same with and without censoring. The model contained three standard normal and three binary (prevalence 0.5) predictors with equal contributions to the linear predictor (in practice this meant coefficients for the binary predictors were twice as high as those of continuous predictors, as the standard deviation of a binary variable with prevalence 0.5 is 0.5). We multiplied all coefficients by a constant such that Harrell’s C of the true linear predictor, estimated in a large sample censored at </w:t>
      </w:r>
      <m:oMath>
        <m:r>
          <w:rPr>
            <w:rFonts w:ascii="Cambria Math" w:hAnsi="Cambria Math"/>
          </w:rPr>
          <m:t>τ</m:t>
        </m:r>
      </m:oMath>
      <w:r>
        <w:t>, equalled a target value (0.8).</w:t>
      </w:r>
    </w:p>
    <w:p w14:paraId="04D23D29" w14:textId="77777777" w:rsidR="00AC0E14" w:rsidRDefault="00000000">
      <w:pPr>
        <w:pStyle w:val="BodyText"/>
      </w:pPr>
      <w:r>
        <w:t xml:space="preserve">The main simulation was a full factorial design with seven event rates, </w:t>
      </w:r>
      <m:oMath>
        <m:r>
          <w:rPr>
            <w:rFonts w:ascii="Cambria Math" w:hAnsi="Cambria Math"/>
          </w:rPr>
          <m:t>e</m:t>
        </m:r>
      </m:oMath>
      <w:r>
        <w:t xml:space="preserve"> = 1%, 5%, 10%, 30%, 60%, 90% and 99%, and two censoring settings, with Harrell’s C fixed at 0.8 (14 scenarios, Table S7.1). The sample size was </w:t>
      </w:r>
      <m:oMath>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e</m:t>
        </m:r>
      </m:oMath>
      <w:r>
        <w:t>, so that every scenario contained about 500 events without censoring (</w:t>
      </w: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000</m:t>
        </m:r>
      </m:oMath>
      <w:r>
        <w:t xml:space="preserve"> for </w:t>
      </w:r>
      <m:oMath>
        <m:r>
          <w:rPr>
            <w:rFonts w:ascii="Cambria Math" w:hAnsi="Cambria Math"/>
          </w:rPr>
          <m:t>e</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w:t>
      </w:r>
      <m:oMath>
        <m:r>
          <w:rPr>
            <w:rFonts w:ascii="Cambria Math" w:hAnsi="Cambria Math"/>
          </w:rPr>
          <m:t>N</m:t>
        </m:r>
        <m:r>
          <m:rPr>
            <m:sty m:val="p"/>
          </m:rPr>
          <w:rPr>
            <w:rFonts w:ascii="Cambria Math" w:hAnsi="Cambria Math"/>
          </w:rPr>
          <m:t>=</m:t>
        </m:r>
        <m:r>
          <w:rPr>
            <w:rFonts w:ascii="Cambria Math" w:hAnsi="Cambria Math"/>
          </w:rPr>
          <m:t>556</m:t>
        </m:r>
      </m:oMath>
      <w:r>
        <w:t xml:space="preserve"> for </w:t>
      </w:r>
      <m:oMath>
        <m:r>
          <w:rPr>
            <w:rFonts w:ascii="Cambria Math" w:hAnsi="Cambria Math"/>
          </w:rPr>
          <m:t>e</m:t>
        </m:r>
        <m:r>
          <m:rPr>
            <m:sty m:val="p"/>
          </m:rPr>
          <w:rPr>
            <w:rFonts w:ascii="Cambria Math" w:hAnsi="Cambria Math"/>
          </w:rPr>
          <m:t>=</m:t>
        </m:r>
        <m:r>
          <w:rPr>
            <w:rFonts w:ascii="Cambria Math" w:hAnsi="Cambria Math"/>
          </w:rPr>
          <m:t>90</m:t>
        </m:r>
        <m:r>
          <m:rPr>
            <m:sty m:val="p"/>
          </m:rPr>
          <w:rPr>
            <w:rFonts w:ascii="Cambria Math" w:hAnsi="Cambria Math"/>
          </w:rPr>
          <m:t>%</m:t>
        </m:r>
      </m:oMath>
      <w:r>
        <w:t xml:space="preserve"> and </w:t>
      </w:r>
      <m:oMath>
        <m:r>
          <w:rPr>
            <w:rFonts w:ascii="Cambria Math" w:hAnsi="Cambria Math"/>
          </w:rPr>
          <m:t>N</m:t>
        </m:r>
        <m:r>
          <m:rPr>
            <m:sty m:val="p"/>
          </m:rPr>
          <w:rPr>
            <w:rFonts w:ascii="Cambria Math" w:hAnsi="Cambria Math"/>
          </w:rPr>
          <m:t>=</m:t>
        </m:r>
        <m:r>
          <w:rPr>
            <w:rFonts w:ascii="Cambria Math" w:hAnsi="Cambria Math"/>
          </w:rPr>
          <m:t>505</m:t>
        </m:r>
      </m:oMath>
      <w:r>
        <w:t xml:space="preserve"> for </w:t>
      </w:r>
      <m:oMath>
        <m:r>
          <w:rPr>
            <w:rFonts w:ascii="Cambria Math" w:hAnsi="Cambria Math"/>
          </w:rPr>
          <m:t>e</m:t>
        </m:r>
        <m:r>
          <m:rPr>
            <m:sty m:val="p"/>
          </m:rPr>
          <w:rPr>
            <w:rFonts w:ascii="Cambria Math" w:hAnsi="Cambria Math"/>
          </w:rPr>
          <m:t>=</m:t>
        </m:r>
        <m:r>
          <w:rPr>
            <w:rFonts w:ascii="Cambria Math" w:hAnsi="Cambria Math"/>
          </w:rPr>
          <m:t>99</m:t>
        </m:r>
        <m:r>
          <m:rPr>
            <m:sty m:val="p"/>
          </m:rPr>
          <w:rPr>
            <w:rFonts w:ascii="Cambria Math" w:hAnsi="Cambria Math"/>
          </w:rPr>
          <m:t>%</m:t>
        </m:r>
      </m:oMath>
      <w:r>
        <w:t xml:space="preserve">). In the first setting, no censoring implied that all patients were followed up to </w:t>
      </w:r>
      <m:oMath>
        <m:r>
          <w:rPr>
            <w:rFonts w:ascii="Cambria Math" w:hAnsi="Cambria Math"/>
          </w:rPr>
          <m:t>τ</m:t>
        </m:r>
      </m:oMath>
      <w:r>
        <w:t xml:space="preserve">. In the second setting, uniform censoring, the potential follow-up of each patient was uniformly distributed between </w:t>
      </w:r>
      <m:oMath>
        <m:r>
          <w:rPr>
            <w:rFonts w:ascii="Cambria Math" w:hAnsi="Cambria Math"/>
          </w:rPr>
          <m:t>0.2τ</m:t>
        </m:r>
      </m:oMath>
      <w:r>
        <w:t xml:space="preserve"> and </w:t>
      </w:r>
      <m:oMath>
        <m:r>
          <w:rPr>
            <w:rFonts w:ascii="Cambria Math" w:hAnsi="Cambria Math"/>
          </w:rPr>
          <m:t>τ</m:t>
        </m:r>
      </m:oMath>
      <w:r>
        <w:t xml:space="preserve"> (for example between 1 and 5 years), to mimic a registry with staggered inclusion where nobody is lost to follow-up early. The hazard and </w:t>
      </w:r>
      <m:oMath>
        <m:r>
          <w:rPr>
            <w:rFonts w:ascii="Cambria Math" w:hAnsi="Cambria Math"/>
          </w:rPr>
          <m:t>N</m:t>
        </m:r>
      </m:oMath>
      <w:r>
        <w:t xml:space="preserve"> were the same as without censoring, so with uniform censoring fewer than </w:t>
      </w:r>
      <m:oMath>
        <m:r>
          <w:rPr>
            <w:rFonts w:ascii="Cambria Math" w:hAnsi="Cambria Math"/>
          </w:rPr>
          <m:t>e</m:t>
        </m:r>
      </m:oMath>
      <w:r>
        <w:t xml:space="preserve"> of the patients had an observed event.</w:t>
      </w:r>
    </w:p>
    <w:p w14:paraId="108113F5" w14:textId="77777777" w:rsidR="00AC0E14" w:rsidRDefault="00000000">
      <w:pPr>
        <w:pStyle w:val="BodyText"/>
      </w:pPr>
      <w:r>
        <w:t xml:space="preserve">We used a Harrell’s C of 0.8 in the main simulation because C did not change the survival at which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became frequent (see the sensitivity analyses below). In the sensitivity analyses we varied Harrell’s C, the number of predictors, the addition of noise predictors, the Weibull shape and random censoring.</w:t>
      </w:r>
    </w:p>
    <w:p w14:paraId="42E74B1C" w14:textId="77777777" w:rsidR="00AC0E14" w:rsidRDefault="00000000">
      <w:pPr>
        <w:pStyle w:val="TableCaption"/>
      </w:pPr>
      <w:r>
        <w:t>Table S7.1. Scenarios of the main simulation (Harrell’s C = 0.8). The percentage of patients with an observed event is the population value.</w:t>
      </w:r>
    </w:p>
    <w:tbl>
      <w:tblPr>
        <w:tblStyle w:val="Table"/>
        <w:tblW w:w="0" w:type="auto"/>
        <w:tblLook w:val="0020" w:firstRow="1" w:lastRow="0" w:firstColumn="0" w:lastColumn="0" w:noHBand="0" w:noVBand="0"/>
      </w:tblPr>
      <w:tblGrid>
        <w:gridCol w:w="1656"/>
        <w:gridCol w:w="1330"/>
        <w:gridCol w:w="3166"/>
        <w:gridCol w:w="3424"/>
      </w:tblGrid>
      <w:tr w:rsidR="00AC0E14" w14:paraId="3FFE80D4" w14:textId="77777777" w:rsidTr="00AC0E14">
        <w:trPr>
          <w:cnfStyle w:val="100000000000" w:firstRow="1" w:lastRow="0" w:firstColumn="0" w:lastColumn="0" w:oddVBand="0" w:evenVBand="0" w:oddHBand="0" w:evenHBand="0" w:firstRowFirstColumn="0" w:firstRowLastColumn="0" w:lastRowFirstColumn="0" w:lastRowLastColumn="0"/>
          <w:tblHeader/>
        </w:trPr>
        <w:tc>
          <w:tcPr>
            <w:tcW w:w="0" w:type="auto"/>
          </w:tcPr>
          <w:p w14:paraId="3E395859" w14:textId="77777777" w:rsidR="00AC0E14" w:rsidRDefault="00000000">
            <w:pPr>
              <w:pStyle w:val="Compact"/>
              <w:jc w:val="right"/>
            </w:pPr>
            <w:r>
              <w:t xml:space="preserve">Event rate, </w:t>
            </w:r>
            <m:oMath>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τ</m:t>
                  </m:r>
                </m:e>
              </m:d>
            </m:oMath>
            <w:r>
              <w:t xml:space="preserve"> (%)</w:t>
            </w:r>
          </w:p>
        </w:tc>
        <w:tc>
          <w:tcPr>
            <w:tcW w:w="0" w:type="auto"/>
          </w:tcPr>
          <w:p w14:paraId="38FF2CBE" w14:textId="77777777" w:rsidR="00AC0E14" w:rsidRDefault="00000000">
            <w:pPr>
              <w:pStyle w:val="Compact"/>
              <w:jc w:val="right"/>
            </w:pPr>
            <w:r>
              <w:t xml:space="preserve">Sample size </w:t>
            </w:r>
            <m:oMath>
              <m:r>
                <w:rPr>
                  <w:rFonts w:ascii="Cambria Math" w:hAnsi="Cambria Math"/>
                </w:rPr>
                <m:t>N</m:t>
              </m:r>
            </m:oMath>
          </w:p>
        </w:tc>
        <w:tc>
          <w:tcPr>
            <w:tcW w:w="0" w:type="auto"/>
          </w:tcPr>
          <w:p w14:paraId="306449C5" w14:textId="77777777" w:rsidR="00AC0E14" w:rsidRDefault="00000000">
            <w:pPr>
              <w:pStyle w:val="Compact"/>
              <w:jc w:val="right"/>
            </w:pPr>
            <w:r>
              <w:t>Patients with an observed event, no censoring (%)</w:t>
            </w:r>
          </w:p>
        </w:tc>
        <w:tc>
          <w:tcPr>
            <w:tcW w:w="0" w:type="auto"/>
          </w:tcPr>
          <w:p w14:paraId="126ECEC1" w14:textId="77777777" w:rsidR="00AC0E14" w:rsidRDefault="00000000">
            <w:pPr>
              <w:pStyle w:val="Compact"/>
              <w:jc w:val="right"/>
            </w:pPr>
            <w:r>
              <w:t>Patients with an observed event, uniform censoring (%)</w:t>
            </w:r>
          </w:p>
        </w:tc>
      </w:tr>
      <w:tr w:rsidR="00AC0E14" w14:paraId="29D6E9C4" w14:textId="77777777">
        <w:tc>
          <w:tcPr>
            <w:tcW w:w="0" w:type="auto"/>
          </w:tcPr>
          <w:p w14:paraId="21A12021" w14:textId="77777777" w:rsidR="00AC0E14" w:rsidRDefault="00000000">
            <w:pPr>
              <w:pStyle w:val="Compact"/>
              <w:jc w:val="right"/>
            </w:pPr>
            <w:r>
              <w:t>1</w:t>
            </w:r>
          </w:p>
        </w:tc>
        <w:tc>
          <w:tcPr>
            <w:tcW w:w="0" w:type="auto"/>
          </w:tcPr>
          <w:p w14:paraId="3D5A6708" w14:textId="77777777" w:rsidR="00AC0E14" w:rsidRDefault="00000000">
            <w:pPr>
              <w:pStyle w:val="Compact"/>
              <w:jc w:val="right"/>
            </w:pPr>
            <w:r>
              <w:t>50,000</w:t>
            </w:r>
          </w:p>
        </w:tc>
        <w:tc>
          <w:tcPr>
            <w:tcW w:w="0" w:type="auto"/>
          </w:tcPr>
          <w:p w14:paraId="502F7DF7" w14:textId="77777777" w:rsidR="00AC0E14" w:rsidRDefault="00000000">
            <w:pPr>
              <w:pStyle w:val="Compact"/>
              <w:jc w:val="right"/>
            </w:pPr>
            <w:r>
              <w:t>1.0</w:t>
            </w:r>
          </w:p>
        </w:tc>
        <w:tc>
          <w:tcPr>
            <w:tcW w:w="0" w:type="auto"/>
          </w:tcPr>
          <w:p w14:paraId="49004153" w14:textId="77777777" w:rsidR="00AC0E14" w:rsidRDefault="00000000">
            <w:pPr>
              <w:pStyle w:val="Compact"/>
              <w:jc w:val="right"/>
            </w:pPr>
            <w:r>
              <w:t>0.6</w:t>
            </w:r>
          </w:p>
        </w:tc>
      </w:tr>
      <w:tr w:rsidR="00AC0E14" w14:paraId="605E01B1" w14:textId="77777777">
        <w:tc>
          <w:tcPr>
            <w:tcW w:w="0" w:type="auto"/>
          </w:tcPr>
          <w:p w14:paraId="34D2CB29" w14:textId="77777777" w:rsidR="00AC0E14" w:rsidRDefault="00000000">
            <w:pPr>
              <w:pStyle w:val="Compact"/>
              <w:jc w:val="right"/>
            </w:pPr>
            <w:r>
              <w:t>5</w:t>
            </w:r>
          </w:p>
        </w:tc>
        <w:tc>
          <w:tcPr>
            <w:tcW w:w="0" w:type="auto"/>
          </w:tcPr>
          <w:p w14:paraId="15C8BE43" w14:textId="77777777" w:rsidR="00AC0E14" w:rsidRDefault="00000000">
            <w:pPr>
              <w:pStyle w:val="Compact"/>
              <w:jc w:val="right"/>
            </w:pPr>
            <w:r>
              <w:t>10,000</w:t>
            </w:r>
          </w:p>
        </w:tc>
        <w:tc>
          <w:tcPr>
            <w:tcW w:w="0" w:type="auto"/>
          </w:tcPr>
          <w:p w14:paraId="5137C610" w14:textId="77777777" w:rsidR="00AC0E14" w:rsidRDefault="00000000">
            <w:pPr>
              <w:pStyle w:val="Compact"/>
              <w:jc w:val="right"/>
            </w:pPr>
            <w:r>
              <w:t>5.1</w:t>
            </w:r>
          </w:p>
        </w:tc>
        <w:tc>
          <w:tcPr>
            <w:tcW w:w="0" w:type="auto"/>
          </w:tcPr>
          <w:p w14:paraId="63B636B7" w14:textId="77777777" w:rsidR="00AC0E14" w:rsidRDefault="00000000">
            <w:pPr>
              <w:pStyle w:val="Compact"/>
              <w:jc w:val="right"/>
            </w:pPr>
            <w:r>
              <w:t>3.1</w:t>
            </w:r>
          </w:p>
        </w:tc>
      </w:tr>
      <w:tr w:rsidR="00AC0E14" w14:paraId="6647003E" w14:textId="77777777">
        <w:tc>
          <w:tcPr>
            <w:tcW w:w="0" w:type="auto"/>
          </w:tcPr>
          <w:p w14:paraId="1173BCC5" w14:textId="77777777" w:rsidR="00AC0E14" w:rsidRDefault="00000000">
            <w:pPr>
              <w:pStyle w:val="Compact"/>
              <w:jc w:val="right"/>
            </w:pPr>
            <w:r>
              <w:t>10</w:t>
            </w:r>
          </w:p>
        </w:tc>
        <w:tc>
          <w:tcPr>
            <w:tcW w:w="0" w:type="auto"/>
          </w:tcPr>
          <w:p w14:paraId="201D8066" w14:textId="77777777" w:rsidR="00AC0E14" w:rsidRDefault="00000000">
            <w:pPr>
              <w:pStyle w:val="Compact"/>
              <w:jc w:val="right"/>
            </w:pPr>
            <w:r>
              <w:t>5,000</w:t>
            </w:r>
          </w:p>
        </w:tc>
        <w:tc>
          <w:tcPr>
            <w:tcW w:w="0" w:type="auto"/>
          </w:tcPr>
          <w:p w14:paraId="26D390B0" w14:textId="77777777" w:rsidR="00AC0E14" w:rsidRDefault="00000000">
            <w:pPr>
              <w:pStyle w:val="Compact"/>
              <w:jc w:val="right"/>
            </w:pPr>
            <w:r>
              <w:t>9.9</w:t>
            </w:r>
          </w:p>
        </w:tc>
        <w:tc>
          <w:tcPr>
            <w:tcW w:w="0" w:type="auto"/>
          </w:tcPr>
          <w:p w14:paraId="1D627C4B" w14:textId="77777777" w:rsidR="00AC0E14" w:rsidRDefault="00000000">
            <w:pPr>
              <w:pStyle w:val="Compact"/>
              <w:jc w:val="right"/>
            </w:pPr>
            <w:r>
              <w:t>6.3</w:t>
            </w:r>
          </w:p>
        </w:tc>
      </w:tr>
      <w:tr w:rsidR="00AC0E14" w14:paraId="3832F0C0" w14:textId="77777777">
        <w:tc>
          <w:tcPr>
            <w:tcW w:w="0" w:type="auto"/>
          </w:tcPr>
          <w:p w14:paraId="4CE130CD" w14:textId="77777777" w:rsidR="00AC0E14" w:rsidRDefault="00000000">
            <w:pPr>
              <w:pStyle w:val="Compact"/>
              <w:jc w:val="right"/>
            </w:pPr>
            <w:r>
              <w:t>30</w:t>
            </w:r>
          </w:p>
        </w:tc>
        <w:tc>
          <w:tcPr>
            <w:tcW w:w="0" w:type="auto"/>
          </w:tcPr>
          <w:p w14:paraId="7619FFFC" w14:textId="77777777" w:rsidR="00AC0E14" w:rsidRDefault="00000000">
            <w:pPr>
              <w:pStyle w:val="Compact"/>
              <w:jc w:val="right"/>
            </w:pPr>
            <w:r>
              <w:t>1,667</w:t>
            </w:r>
          </w:p>
        </w:tc>
        <w:tc>
          <w:tcPr>
            <w:tcW w:w="0" w:type="auto"/>
          </w:tcPr>
          <w:p w14:paraId="5E7E6CBE" w14:textId="77777777" w:rsidR="00AC0E14" w:rsidRDefault="00000000">
            <w:pPr>
              <w:pStyle w:val="Compact"/>
              <w:jc w:val="right"/>
            </w:pPr>
            <w:r>
              <w:t>30.0</w:t>
            </w:r>
          </w:p>
        </w:tc>
        <w:tc>
          <w:tcPr>
            <w:tcW w:w="0" w:type="auto"/>
          </w:tcPr>
          <w:p w14:paraId="331E9B27" w14:textId="77777777" w:rsidR="00AC0E14" w:rsidRDefault="00000000">
            <w:pPr>
              <w:pStyle w:val="Compact"/>
              <w:jc w:val="right"/>
            </w:pPr>
            <w:r>
              <w:t>20.9</w:t>
            </w:r>
          </w:p>
        </w:tc>
      </w:tr>
      <w:tr w:rsidR="00AC0E14" w14:paraId="2C018508" w14:textId="77777777">
        <w:tc>
          <w:tcPr>
            <w:tcW w:w="0" w:type="auto"/>
          </w:tcPr>
          <w:p w14:paraId="154AB777" w14:textId="77777777" w:rsidR="00AC0E14" w:rsidRDefault="00000000">
            <w:pPr>
              <w:pStyle w:val="Compact"/>
              <w:jc w:val="right"/>
            </w:pPr>
            <w:r>
              <w:lastRenderedPageBreak/>
              <w:t>60</w:t>
            </w:r>
          </w:p>
        </w:tc>
        <w:tc>
          <w:tcPr>
            <w:tcW w:w="0" w:type="auto"/>
          </w:tcPr>
          <w:p w14:paraId="6E6D0F2B" w14:textId="77777777" w:rsidR="00AC0E14" w:rsidRDefault="00000000">
            <w:pPr>
              <w:pStyle w:val="Compact"/>
              <w:jc w:val="right"/>
            </w:pPr>
            <w:r>
              <w:t>833</w:t>
            </w:r>
          </w:p>
        </w:tc>
        <w:tc>
          <w:tcPr>
            <w:tcW w:w="0" w:type="auto"/>
          </w:tcPr>
          <w:p w14:paraId="68EBD4A3" w14:textId="77777777" w:rsidR="00AC0E14" w:rsidRDefault="00000000">
            <w:pPr>
              <w:pStyle w:val="Compact"/>
              <w:jc w:val="right"/>
            </w:pPr>
            <w:r>
              <w:t>59.9</w:t>
            </w:r>
          </w:p>
        </w:tc>
        <w:tc>
          <w:tcPr>
            <w:tcW w:w="0" w:type="auto"/>
          </w:tcPr>
          <w:p w14:paraId="3A496056" w14:textId="77777777" w:rsidR="00AC0E14" w:rsidRDefault="00000000">
            <w:pPr>
              <w:pStyle w:val="Compact"/>
              <w:jc w:val="right"/>
            </w:pPr>
            <w:r>
              <w:t>47.8</w:t>
            </w:r>
          </w:p>
        </w:tc>
      </w:tr>
      <w:tr w:rsidR="00AC0E14" w14:paraId="1B41E87B" w14:textId="77777777">
        <w:tc>
          <w:tcPr>
            <w:tcW w:w="0" w:type="auto"/>
          </w:tcPr>
          <w:p w14:paraId="515949D0" w14:textId="77777777" w:rsidR="00AC0E14" w:rsidRDefault="00000000">
            <w:pPr>
              <w:pStyle w:val="Compact"/>
              <w:jc w:val="right"/>
            </w:pPr>
            <w:r>
              <w:t>90</w:t>
            </w:r>
          </w:p>
        </w:tc>
        <w:tc>
          <w:tcPr>
            <w:tcW w:w="0" w:type="auto"/>
          </w:tcPr>
          <w:p w14:paraId="69719C75" w14:textId="77777777" w:rsidR="00AC0E14" w:rsidRDefault="00000000">
            <w:pPr>
              <w:pStyle w:val="Compact"/>
              <w:jc w:val="right"/>
            </w:pPr>
            <w:r>
              <w:t>556</w:t>
            </w:r>
          </w:p>
        </w:tc>
        <w:tc>
          <w:tcPr>
            <w:tcW w:w="0" w:type="auto"/>
          </w:tcPr>
          <w:p w14:paraId="468C23EC" w14:textId="77777777" w:rsidR="00AC0E14" w:rsidRDefault="00000000">
            <w:pPr>
              <w:pStyle w:val="Compact"/>
              <w:jc w:val="right"/>
            </w:pPr>
            <w:r>
              <w:t>89.9</w:t>
            </w:r>
          </w:p>
        </w:tc>
        <w:tc>
          <w:tcPr>
            <w:tcW w:w="0" w:type="auto"/>
          </w:tcPr>
          <w:p w14:paraId="094AF266" w14:textId="77777777" w:rsidR="00AC0E14" w:rsidRDefault="00000000">
            <w:pPr>
              <w:pStyle w:val="Compact"/>
              <w:jc w:val="right"/>
            </w:pPr>
            <w:r>
              <w:t>82.6</w:t>
            </w:r>
          </w:p>
        </w:tc>
      </w:tr>
      <w:tr w:rsidR="00AC0E14" w14:paraId="117D0C7B" w14:textId="77777777">
        <w:tc>
          <w:tcPr>
            <w:tcW w:w="0" w:type="auto"/>
          </w:tcPr>
          <w:p w14:paraId="4A807DB7" w14:textId="77777777" w:rsidR="00AC0E14" w:rsidRDefault="00000000">
            <w:pPr>
              <w:pStyle w:val="Compact"/>
              <w:jc w:val="right"/>
            </w:pPr>
            <w:r>
              <w:t>99</w:t>
            </w:r>
          </w:p>
        </w:tc>
        <w:tc>
          <w:tcPr>
            <w:tcW w:w="0" w:type="auto"/>
          </w:tcPr>
          <w:p w14:paraId="3E63B6D0" w14:textId="77777777" w:rsidR="00AC0E14" w:rsidRDefault="00000000">
            <w:pPr>
              <w:pStyle w:val="Compact"/>
              <w:jc w:val="right"/>
            </w:pPr>
            <w:r>
              <w:t>505</w:t>
            </w:r>
          </w:p>
        </w:tc>
        <w:tc>
          <w:tcPr>
            <w:tcW w:w="0" w:type="auto"/>
          </w:tcPr>
          <w:p w14:paraId="12692188" w14:textId="77777777" w:rsidR="00AC0E14" w:rsidRDefault="00000000">
            <w:pPr>
              <w:pStyle w:val="Compact"/>
              <w:jc w:val="right"/>
            </w:pPr>
            <w:r>
              <w:t>99.0</w:t>
            </w:r>
          </w:p>
        </w:tc>
        <w:tc>
          <w:tcPr>
            <w:tcW w:w="0" w:type="auto"/>
          </w:tcPr>
          <w:p w14:paraId="66381B52" w14:textId="77777777" w:rsidR="00AC0E14" w:rsidRDefault="00000000">
            <w:pPr>
              <w:pStyle w:val="Compact"/>
              <w:jc w:val="right"/>
            </w:pPr>
            <w:r>
              <w:t>97.3</w:t>
            </w:r>
          </w:p>
        </w:tc>
      </w:tr>
    </w:tbl>
    <w:p w14:paraId="05548F8C" w14:textId="77777777" w:rsidR="00AC0E14" w:rsidRDefault="00000000">
      <w:pPr>
        <w:pStyle w:val="BodyText"/>
      </w:pPr>
      <w:r>
        <w:rPr>
          <w:b/>
          <w:bCs/>
        </w:rPr>
        <w:t>Estimands.</w:t>
      </w:r>
      <w:r>
        <w:t xml:space="preserve"> The estimand was the effective sample size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of the Cox model survival prediction, for 200 fixed covariate profiles </w:t>
      </w:r>
      <m:oMath>
        <m:r>
          <m:rPr>
            <m:sty m:val="b"/>
          </m:rPr>
          <w:rPr>
            <w:rFonts w:ascii="Cambria Math" w:hAnsi="Cambria Math"/>
          </w:rPr>
          <m:t>x</m:t>
        </m:r>
      </m:oMath>
      <w:r>
        <w:t xml:space="preserve">, taken from a simulated population of 100,000 patients as the patients at 200 equally spaced quantiles,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0.5</m:t>
            </m:r>
          </m:e>
        </m:d>
        <m:r>
          <m:rPr>
            <m:sty m:val="p"/>
          </m:rPr>
          <w:rPr>
            <w:rFonts w:ascii="Cambria Math" w:hAnsi="Cambria Math"/>
          </w:rPr>
          <m:t>/</m:t>
        </m:r>
        <m:r>
          <w:rPr>
            <w:rFonts w:ascii="Cambria Math" w:hAnsi="Cambria Math"/>
          </w:rPr>
          <m:t>200</m:t>
        </m:r>
      </m:oMath>
      <w:r>
        <w:t xml:space="preserve">, of the true linear predictor, at seven time points </w:t>
      </w:r>
      <m:oMath>
        <m:r>
          <w:rPr>
            <w:rFonts w:ascii="Cambria Math" w:hAnsi="Cambria Math"/>
          </w:rPr>
          <m:t>t</m:t>
        </m:r>
      </m:oMath>
      <w:r>
        <w:t>. These were the times at which 5%, 10%, 25%, 40%, 60%, 75% and 90% of all observed events in the population had occurred. The true value of this estimand was</w:t>
      </w:r>
    </w:p>
    <w:p w14:paraId="18139E91" w14:textId="77777777" w:rsidR="00AC0E14"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N</m:t>
              </m:r>
            </m:e>
            <m:sub>
              <m:r>
                <m:rPr>
                  <m:sty m:val="p"/>
                </m:rPr>
                <w:rPr>
                  <w:rFonts w:ascii="Cambria Math" w:hAnsi="Cambria Math"/>
                </w:rPr>
                <m:t>*</m:t>
              </m:r>
            </m:sub>
            <m:sup>
              <m:r>
                <m:rPr>
                  <m:nor/>
                </m:rPr>
                <m:t>true</m:t>
              </m:r>
            </m:sup>
          </m:sSubSup>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num>
            <m:den>
              <m:sSub>
                <m:sSubPr>
                  <m:ctrlPr>
                    <w:rPr>
                      <w:rFonts w:ascii="Cambria Math" w:hAnsi="Cambria Math"/>
                    </w:rPr>
                  </m:ctrlPr>
                </m:sSubPr>
                <m:e>
                  <m:r>
                    <m:rPr>
                      <m:sty m:val="p"/>
                    </m:rPr>
                    <w:rPr>
                      <w:rFonts w:ascii="Cambria Math" w:hAnsi="Cambria Math"/>
                    </w:rPr>
                    <m:t>Var</m:t>
                  </m:r>
                </m:e>
                <m:sub>
                  <m:r>
                    <m:rPr>
                      <m:nor/>
                    </m:rPr>
                    <m:t>emp</m:t>
                  </m:r>
                </m:sub>
              </m:sSub>
              <m:d>
                <m:dPr>
                  <m:ctrlPr>
                    <w:rPr>
                      <w:rFonts w:ascii="Cambria Math" w:hAnsi="Cambria Math"/>
                    </w:rPr>
                  </m:ctrlPr>
                </m:dPr>
                <m:e>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den>
          </m:f>
          <m:r>
            <m:rPr>
              <m:sty m:val="p"/>
            </m:rPr>
            <w:rPr>
              <w:rFonts w:ascii="Cambria Math" w:hAnsi="Cambria Math"/>
            </w:rPr>
            <m:t>,</m:t>
          </m:r>
        </m:oMath>
      </m:oMathPara>
    </w:p>
    <w:p w14:paraId="43B6D6B3" w14:textId="77777777" w:rsidR="00AC0E14" w:rsidRDefault="00000000">
      <w:pPr>
        <w:pStyle w:val="FirstParagraph"/>
      </w:pPr>
      <w:r>
        <w:t xml:space="preserve">with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the true survival probability, known from the data-generating mechanism, and </w:t>
      </w:r>
      <m:oMath>
        <m:sSub>
          <m:sSubPr>
            <m:ctrlPr>
              <w:rPr>
                <w:rFonts w:ascii="Cambria Math" w:hAnsi="Cambria Math"/>
              </w:rPr>
            </m:ctrlPr>
          </m:sSubPr>
          <m:e>
            <m:r>
              <m:rPr>
                <m:sty m:val="p"/>
              </m:rPr>
              <w:rPr>
                <w:rFonts w:ascii="Cambria Math" w:hAnsi="Cambria Math"/>
              </w:rPr>
              <m:t>Var</m:t>
            </m:r>
          </m:e>
          <m:sub>
            <m:r>
              <m:rPr>
                <m:nor/>
              </m:rPr>
              <m:t>emp</m:t>
            </m:r>
          </m:sub>
        </m:sSub>
      </m:oMath>
      <w:r>
        <w:t xml:space="preserve"> the variance of </w:t>
      </w:r>
      <m:oMath>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over the replications. In addition, in each replication we estimated the 95% confidence interval of </w:t>
      </w:r>
      <m:oMath>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and checked whether it contained the true survival probability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w:t>
      </w:r>
    </w:p>
    <w:p w14:paraId="58576971" w14:textId="77777777" w:rsidR="00AC0E14" w:rsidRDefault="00000000">
      <w:pPr>
        <w:pStyle w:val="BodyText"/>
      </w:pPr>
      <w:r>
        <w:rPr>
          <w:b/>
          <w:bCs/>
        </w:rPr>
        <w:t>Methods.</w:t>
      </w:r>
      <w:r>
        <w:t xml:space="preserve"> In each replication we fitted a Cox model with all predictors (the true predictors and, in the sensitivity analysis, the noise predictors). We obtained </w:t>
      </w:r>
      <m:oMath>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and its model-based standard error with </w:t>
      </w:r>
      <w:r>
        <w:rPr>
          <w:rStyle w:val="VerbatimChar"/>
        </w:rPr>
        <w:t>survfit</w:t>
      </w:r>
      <w:r>
        <w:t xml:space="preserve">, and calculated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d>
          <m:dPr>
            <m:ctrlPr>
              <w:rPr>
                <w:rFonts w:ascii="Cambria Math" w:hAnsi="Cambria Math"/>
              </w:rPr>
            </m:ctrlPr>
          </m:dPr>
          <m:e>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r>
          <m:rPr>
            <m:sty m:val="p"/>
          </m:rPr>
          <w:rPr>
            <w:rFonts w:ascii="Cambria Math" w:hAnsi="Cambria Math"/>
          </w:rPr>
          <m:t>/</m:t>
        </m:r>
        <m:acc>
          <m:accPr>
            <m:ctrlPr>
              <w:rPr>
                <w:rFonts w:ascii="Cambria Math" w:hAnsi="Cambria Math"/>
              </w:rPr>
            </m:ctrlPr>
          </m:accPr>
          <m:e>
            <m:r>
              <m:rPr>
                <m:sty m:val="p"/>
              </m:rPr>
              <w:rPr>
                <w:rFonts w:ascii="Cambria Math" w:hAnsi="Cambria Math"/>
              </w:rPr>
              <m:t>SE</m:t>
            </m:r>
          </m:e>
        </m:acc>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e>
          <m:sup>
            <m:r>
              <w:rPr>
                <w:rFonts w:ascii="Cambria Math" w:hAnsi="Cambria Math"/>
              </w:rPr>
              <m:t>2</m:t>
            </m:r>
          </m:sup>
        </m:sSup>
      </m:oMath>
      <w:r>
        <w:t xml:space="preserve">. Confidence intervals were calculated on the log(-log) scale. We ran 1000 replications per scenario. This number was determined in a pilot with 300 replications in selected scenarios, including the most demanding ones: we estimated the Monte Carlo standard error of each performance measure per cell (time point by band of true survival) and chose the number of replications such that the 90th percentile of the required numbers met a Monte Carlo standard error of 1 percentage point for the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and 0.5 percentage points for the coverage.</w:t>
      </w:r>
    </w:p>
    <w:p w14:paraId="2C74FAC7" w14:textId="77777777" w:rsidR="00AC0E14" w:rsidRDefault="00000000">
      <w:pPr>
        <w:pStyle w:val="BodyText"/>
      </w:pPr>
      <w:r>
        <w:rPr>
          <w:b/>
          <w:bCs/>
        </w:rPr>
        <w:t>Performance measures.</w:t>
      </w:r>
      <w:r>
        <w:t xml:space="preserve"> For each prediction (covariate profile, time point and simulated dataset) the true survival probability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was known from the data-generating model. Our primary performance measure was the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among all predictions with the same true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which was the probability that a prediction for a patient with true survival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had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We grouped the predictions by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on the logit scale (bins of width 0.2 to 0.4), pooled over the time points, and gave every prediction the same weight. The profiles were equally spaced quantiles of the linear predictor, so each profile represented the same share of the population. We kept all 200 profiles, including the most extreme ones (the 0.25% and 99.75% quantiles of the linear predictor). These profiles were extrapolations in a sample of this size, and their true survival </w:t>
      </w:r>
      <w:r>
        <w:lastRenderedPageBreak/>
        <w:t xml:space="preserve">probabilities were far outside the range in which the model would normally be used, so results for them should be interpreted with caution. For the coverage (Table S7.3), predictions with a true survival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were left out, as the variance was zero in floating point at that level. The true survival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 xml:space="preserve"> above which more than 5% of the predictions had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was determined by interpolation between bins, for each scenario separately. Second, we calculated the coverage of the 95% log(-log) confidence interval, which was the proportion of replications in which the interval contained the true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w:t>
      </w:r>
    </w:p>
    <w:p w14:paraId="1EC57F42" w14:textId="77777777" w:rsidR="00AC0E14" w:rsidRDefault="00000000">
      <w:pPr>
        <w:pStyle w:val="BodyText"/>
      </w:pPr>
      <w:r>
        <w:t>The fitted model was correctly specified, apart from the noise predictors in the sensitivity analysis, and we did not perform variable selection. The simulation therefore concentrated on the behavior of the variance estimator. Misspecification, variable selection and overoptimism were not investigated.</w:t>
      </w:r>
    </w:p>
    <w:p w14:paraId="19AFCE16" w14:textId="77777777" w:rsidR="00AC0E14" w:rsidRDefault="00000000">
      <w:pPr>
        <w:pStyle w:val="Heading3"/>
      </w:pPr>
      <w:bookmarkStart w:id="16" w:name="results"/>
      <w:r>
        <w:t>Results</w:t>
      </w:r>
    </w:p>
    <w:p w14:paraId="0881E3EF" w14:textId="77777777" w:rsidR="00AC0E14" w:rsidRDefault="00000000">
      <w:pPr>
        <w:pStyle w:val="FirstParagraph"/>
      </w:pPr>
      <w:r>
        <w:t xml:space="preserve">The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against the true survival is shown in Figure 6 of the main article. Without censoring, more than 5% of the predictions had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above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 0.92 for an event rate of 90%, above 0.97 for 30% and above 0.99 for 10% (Table S7.2). With uniform censoring, these values were similar (0.92, 0.98 and 0.99). With no censoring, the percentage also exceeded 5% at low survival: below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 0.010 for event rates of 90% and 99% (Table S7.2).</w:t>
      </w:r>
    </w:p>
    <w:p w14:paraId="7A11F54D" w14:textId="77777777" w:rsidR="00AC0E14" w:rsidRDefault="00000000">
      <w:pPr>
        <w:pStyle w:val="TableCaption"/>
      </w:pPr>
      <w:r>
        <w:t xml:space="preserve">Table S7.2. True survival </w:t>
      </w:r>
      <m:oMath>
        <m:r>
          <w:rPr>
            <w:rFonts w:ascii="Cambria Math" w:hAnsi="Cambria Math"/>
          </w:rPr>
          <m:t>S</m:t>
        </m:r>
        <m:d>
          <m:dPr>
            <m:ctrlPr>
              <w:rPr>
                <w:rFonts w:ascii="Cambria Math" w:hAnsi="Cambria Math"/>
              </w:rPr>
            </m:ctrlPr>
          </m:dPr>
          <m:e>
            <m:r>
              <w:rPr>
                <w:rFonts w:ascii="Cambria Math" w:hAnsi="Cambria Math"/>
              </w:rPr>
              <m:t>t|</m:t>
            </m:r>
            <m:r>
              <m:rPr>
                <m:sty m:val="bi"/>
              </m:rPr>
              <w:rPr>
                <w:rFonts w:ascii="Cambria Math" w:hAnsi="Cambria Math"/>
              </w:rPr>
              <m:t>x</m:t>
            </m:r>
          </m:e>
        </m:d>
      </m:oMath>
      <w:r>
        <w:t xml:space="preserve"> below (lower limit) and above (upper limit) which more than 5% of the predictions had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m:t>
            </m:r>
          </m:sub>
        </m:sSub>
        <m:r>
          <w:rPr>
            <w:rFonts w:ascii="Cambria Math" w:hAnsi="Cambria Math"/>
          </w:rPr>
          <m:t>&gt;N</m:t>
        </m:r>
      </m:oMath>
      <w:r>
        <w:t>, by event rate, for no censoring (columns 2 and 3) and uniform censoring (columns 4 and 5). With fewer observed events, the threshold moved to slightly higher survival probabilities. NA: the percentage did not exceed 5% on that side in the range of survival probabilities that occurred.</w:t>
      </w:r>
    </w:p>
    <w:tbl>
      <w:tblPr>
        <w:tblStyle w:val="Table"/>
        <w:tblW w:w="0" w:type="auto"/>
        <w:tblLook w:val="0020" w:firstRow="1" w:lastRow="0" w:firstColumn="0" w:lastColumn="0" w:noHBand="0" w:noVBand="0"/>
      </w:tblPr>
      <w:tblGrid>
        <w:gridCol w:w="1189"/>
        <w:gridCol w:w="1967"/>
        <w:gridCol w:w="1971"/>
        <w:gridCol w:w="2223"/>
        <w:gridCol w:w="2226"/>
      </w:tblGrid>
      <w:tr w:rsidR="00AC0E14" w14:paraId="121978CD" w14:textId="77777777" w:rsidTr="00AC0E14">
        <w:trPr>
          <w:cnfStyle w:val="100000000000" w:firstRow="1" w:lastRow="0" w:firstColumn="0" w:lastColumn="0" w:oddVBand="0" w:evenVBand="0" w:oddHBand="0" w:evenHBand="0" w:firstRowFirstColumn="0" w:firstRowLastColumn="0" w:lastRowFirstColumn="0" w:lastRowLastColumn="0"/>
          <w:tblHeader/>
        </w:trPr>
        <w:tc>
          <w:tcPr>
            <w:tcW w:w="0" w:type="auto"/>
          </w:tcPr>
          <w:p w14:paraId="1DFC94FE" w14:textId="77777777" w:rsidR="00AC0E14" w:rsidRDefault="00000000">
            <w:pPr>
              <w:pStyle w:val="Compact"/>
              <w:jc w:val="right"/>
            </w:pPr>
            <w:r>
              <w:t>Event rate (%)</w:t>
            </w:r>
          </w:p>
        </w:tc>
        <w:tc>
          <w:tcPr>
            <w:tcW w:w="0" w:type="auto"/>
          </w:tcPr>
          <w:p w14:paraId="7DEC9E39" w14:textId="77777777" w:rsidR="00AC0E14" w:rsidRDefault="00000000">
            <w:pPr>
              <w:pStyle w:val="Compact"/>
            </w:pPr>
            <w:r>
              <w:t>Lower limit, no censoring</w:t>
            </w:r>
          </w:p>
        </w:tc>
        <w:tc>
          <w:tcPr>
            <w:tcW w:w="0" w:type="auto"/>
          </w:tcPr>
          <w:p w14:paraId="797EFB9F" w14:textId="77777777" w:rsidR="00AC0E14" w:rsidRDefault="00000000">
            <w:pPr>
              <w:pStyle w:val="Compact"/>
            </w:pPr>
            <w:r>
              <w:t>Upper limit, no censoring</w:t>
            </w:r>
          </w:p>
        </w:tc>
        <w:tc>
          <w:tcPr>
            <w:tcW w:w="0" w:type="auto"/>
          </w:tcPr>
          <w:p w14:paraId="1787F9FA" w14:textId="77777777" w:rsidR="00AC0E14" w:rsidRDefault="00000000">
            <w:pPr>
              <w:pStyle w:val="Compact"/>
            </w:pPr>
            <w:r>
              <w:t>Lower limit, uniform censoring</w:t>
            </w:r>
          </w:p>
        </w:tc>
        <w:tc>
          <w:tcPr>
            <w:tcW w:w="0" w:type="auto"/>
          </w:tcPr>
          <w:p w14:paraId="568D9EFF" w14:textId="77777777" w:rsidR="00AC0E14" w:rsidRDefault="00000000">
            <w:pPr>
              <w:pStyle w:val="Compact"/>
            </w:pPr>
            <w:r>
              <w:t>Upper limit, uniform censoring</w:t>
            </w:r>
          </w:p>
        </w:tc>
      </w:tr>
      <w:tr w:rsidR="00AC0E14" w14:paraId="3BBE68FD" w14:textId="77777777">
        <w:tc>
          <w:tcPr>
            <w:tcW w:w="0" w:type="auto"/>
          </w:tcPr>
          <w:p w14:paraId="763C13FB" w14:textId="77777777" w:rsidR="00AC0E14" w:rsidRDefault="00000000">
            <w:pPr>
              <w:pStyle w:val="Compact"/>
              <w:jc w:val="right"/>
            </w:pPr>
            <w:r>
              <w:t>1</w:t>
            </w:r>
          </w:p>
        </w:tc>
        <w:tc>
          <w:tcPr>
            <w:tcW w:w="0" w:type="auto"/>
          </w:tcPr>
          <w:p w14:paraId="79D77745" w14:textId="77777777" w:rsidR="00AC0E14" w:rsidRDefault="00000000">
            <w:pPr>
              <w:pStyle w:val="Compact"/>
            </w:pPr>
            <w:r>
              <w:t>NA</w:t>
            </w:r>
          </w:p>
        </w:tc>
        <w:tc>
          <w:tcPr>
            <w:tcW w:w="0" w:type="auto"/>
          </w:tcPr>
          <w:p w14:paraId="5A079244" w14:textId="77777777" w:rsidR="00AC0E14" w:rsidRDefault="00000000">
            <w:pPr>
              <w:pStyle w:val="Compact"/>
            </w:pPr>
            <w:r>
              <w:t>0.999</w:t>
            </w:r>
          </w:p>
        </w:tc>
        <w:tc>
          <w:tcPr>
            <w:tcW w:w="0" w:type="auto"/>
          </w:tcPr>
          <w:p w14:paraId="6F8332D0" w14:textId="77777777" w:rsidR="00AC0E14" w:rsidRDefault="00000000">
            <w:pPr>
              <w:pStyle w:val="Compact"/>
            </w:pPr>
            <w:r>
              <w:t>NA</w:t>
            </w:r>
          </w:p>
        </w:tc>
        <w:tc>
          <w:tcPr>
            <w:tcW w:w="0" w:type="auto"/>
          </w:tcPr>
          <w:p w14:paraId="174135EC" w14:textId="77777777" w:rsidR="00AC0E14" w:rsidRDefault="00000000">
            <w:pPr>
              <w:pStyle w:val="Compact"/>
            </w:pPr>
            <w:r>
              <w:t>0.999</w:t>
            </w:r>
          </w:p>
        </w:tc>
      </w:tr>
      <w:tr w:rsidR="00AC0E14" w14:paraId="0AE71E7A" w14:textId="77777777">
        <w:tc>
          <w:tcPr>
            <w:tcW w:w="0" w:type="auto"/>
          </w:tcPr>
          <w:p w14:paraId="12CE8BFA" w14:textId="77777777" w:rsidR="00AC0E14" w:rsidRDefault="00000000">
            <w:pPr>
              <w:pStyle w:val="Compact"/>
              <w:jc w:val="right"/>
            </w:pPr>
            <w:r>
              <w:t>5</w:t>
            </w:r>
          </w:p>
        </w:tc>
        <w:tc>
          <w:tcPr>
            <w:tcW w:w="0" w:type="auto"/>
          </w:tcPr>
          <w:p w14:paraId="18DCB609" w14:textId="77777777" w:rsidR="00AC0E14" w:rsidRDefault="00000000">
            <w:pPr>
              <w:pStyle w:val="Compact"/>
            </w:pPr>
            <w:r>
              <w:t>NA</w:t>
            </w:r>
          </w:p>
        </w:tc>
        <w:tc>
          <w:tcPr>
            <w:tcW w:w="0" w:type="auto"/>
          </w:tcPr>
          <w:p w14:paraId="6640444B" w14:textId="77777777" w:rsidR="00AC0E14" w:rsidRDefault="00000000">
            <w:pPr>
              <w:pStyle w:val="Compact"/>
            </w:pPr>
            <w:r>
              <w:t>0.995</w:t>
            </w:r>
          </w:p>
        </w:tc>
        <w:tc>
          <w:tcPr>
            <w:tcW w:w="0" w:type="auto"/>
          </w:tcPr>
          <w:p w14:paraId="4A88E6F5" w14:textId="77777777" w:rsidR="00AC0E14" w:rsidRDefault="00000000">
            <w:pPr>
              <w:pStyle w:val="Compact"/>
            </w:pPr>
            <w:r>
              <w:t>NA</w:t>
            </w:r>
          </w:p>
        </w:tc>
        <w:tc>
          <w:tcPr>
            <w:tcW w:w="0" w:type="auto"/>
          </w:tcPr>
          <w:p w14:paraId="01112C8F" w14:textId="77777777" w:rsidR="00AC0E14" w:rsidRDefault="00000000">
            <w:pPr>
              <w:pStyle w:val="Compact"/>
            </w:pPr>
            <w:r>
              <w:t>0.997</w:t>
            </w:r>
          </w:p>
        </w:tc>
      </w:tr>
      <w:tr w:rsidR="00AC0E14" w14:paraId="2028454C" w14:textId="77777777">
        <w:tc>
          <w:tcPr>
            <w:tcW w:w="0" w:type="auto"/>
          </w:tcPr>
          <w:p w14:paraId="5F88EE75" w14:textId="77777777" w:rsidR="00AC0E14" w:rsidRDefault="00000000">
            <w:pPr>
              <w:pStyle w:val="Compact"/>
              <w:jc w:val="right"/>
            </w:pPr>
            <w:r>
              <w:t>10</w:t>
            </w:r>
          </w:p>
        </w:tc>
        <w:tc>
          <w:tcPr>
            <w:tcW w:w="0" w:type="auto"/>
          </w:tcPr>
          <w:p w14:paraId="2330F66E" w14:textId="77777777" w:rsidR="00AC0E14" w:rsidRDefault="00000000">
            <w:pPr>
              <w:pStyle w:val="Compact"/>
            </w:pPr>
            <w:r>
              <w:t>NA</w:t>
            </w:r>
          </w:p>
        </w:tc>
        <w:tc>
          <w:tcPr>
            <w:tcW w:w="0" w:type="auto"/>
          </w:tcPr>
          <w:p w14:paraId="286A95C1" w14:textId="77777777" w:rsidR="00AC0E14" w:rsidRDefault="00000000">
            <w:pPr>
              <w:pStyle w:val="Compact"/>
            </w:pPr>
            <w:r>
              <w:t>0.989</w:t>
            </w:r>
          </w:p>
        </w:tc>
        <w:tc>
          <w:tcPr>
            <w:tcW w:w="0" w:type="auto"/>
          </w:tcPr>
          <w:p w14:paraId="1BFFE502" w14:textId="77777777" w:rsidR="00AC0E14" w:rsidRDefault="00000000">
            <w:pPr>
              <w:pStyle w:val="Compact"/>
            </w:pPr>
            <w:r>
              <w:t>NA</w:t>
            </w:r>
          </w:p>
        </w:tc>
        <w:tc>
          <w:tcPr>
            <w:tcW w:w="0" w:type="auto"/>
          </w:tcPr>
          <w:p w14:paraId="430133AD" w14:textId="77777777" w:rsidR="00AC0E14" w:rsidRDefault="00000000">
            <w:pPr>
              <w:pStyle w:val="Compact"/>
            </w:pPr>
            <w:r>
              <w:t>0.993</w:t>
            </w:r>
          </w:p>
        </w:tc>
      </w:tr>
      <w:tr w:rsidR="00AC0E14" w14:paraId="523D8D22" w14:textId="77777777">
        <w:tc>
          <w:tcPr>
            <w:tcW w:w="0" w:type="auto"/>
          </w:tcPr>
          <w:p w14:paraId="43F73918" w14:textId="77777777" w:rsidR="00AC0E14" w:rsidRDefault="00000000">
            <w:pPr>
              <w:pStyle w:val="Compact"/>
              <w:jc w:val="right"/>
            </w:pPr>
            <w:r>
              <w:t>30</w:t>
            </w:r>
          </w:p>
        </w:tc>
        <w:tc>
          <w:tcPr>
            <w:tcW w:w="0" w:type="auto"/>
          </w:tcPr>
          <w:p w14:paraId="7E56284E" w14:textId="77777777" w:rsidR="00AC0E14" w:rsidRDefault="00000000">
            <w:pPr>
              <w:pStyle w:val="Compact"/>
            </w:pPr>
            <w:r>
              <w:t>NA</w:t>
            </w:r>
          </w:p>
        </w:tc>
        <w:tc>
          <w:tcPr>
            <w:tcW w:w="0" w:type="auto"/>
          </w:tcPr>
          <w:p w14:paraId="4A552954" w14:textId="77777777" w:rsidR="00AC0E14" w:rsidRDefault="00000000">
            <w:pPr>
              <w:pStyle w:val="Compact"/>
            </w:pPr>
            <w:r>
              <w:t>0.968</w:t>
            </w:r>
          </w:p>
        </w:tc>
        <w:tc>
          <w:tcPr>
            <w:tcW w:w="0" w:type="auto"/>
          </w:tcPr>
          <w:p w14:paraId="401F520F" w14:textId="77777777" w:rsidR="00AC0E14" w:rsidRDefault="00000000">
            <w:pPr>
              <w:pStyle w:val="Compact"/>
            </w:pPr>
            <w:r>
              <w:t>NA</w:t>
            </w:r>
          </w:p>
        </w:tc>
        <w:tc>
          <w:tcPr>
            <w:tcW w:w="0" w:type="auto"/>
          </w:tcPr>
          <w:p w14:paraId="0C9BDB6D" w14:textId="77777777" w:rsidR="00AC0E14" w:rsidRDefault="00000000">
            <w:pPr>
              <w:pStyle w:val="Compact"/>
            </w:pPr>
            <w:r>
              <w:t>0.977</w:t>
            </w:r>
          </w:p>
        </w:tc>
      </w:tr>
      <w:tr w:rsidR="00AC0E14" w14:paraId="336FBB8D" w14:textId="77777777">
        <w:tc>
          <w:tcPr>
            <w:tcW w:w="0" w:type="auto"/>
          </w:tcPr>
          <w:p w14:paraId="1E5C3575" w14:textId="77777777" w:rsidR="00AC0E14" w:rsidRDefault="00000000">
            <w:pPr>
              <w:pStyle w:val="Compact"/>
              <w:jc w:val="right"/>
            </w:pPr>
            <w:r>
              <w:t>60</w:t>
            </w:r>
          </w:p>
        </w:tc>
        <w:tc>
          <w:tcPr>
            <w:tcW w:w="0" w:type="auto"/>
          </w:tcPr>
          <w:p w14:paraId="527B96C1" w14:textId="77777777" w:rsidR="00AC0E14" w:rsidRDefault="00000000">
            <w:pPr>
              <w:pStyle w:val="Compact"/>
            </w:pPr>
            <w:r>
              <w:t>NA</w:t>
            </w:r>
          </w:p>
        </w:tc>
        <w:tc>
          <w:tcPr>
            <w:tcW w:w="0" w:type="auto"/>
          </w:tcPr>
          <w:p w14:paraId="6A534E5D" w14:textId="77777777" w:rsidR="00AC0E14" w:rsidRDefault="00000000">
            <w:pPr>
              <w:pStyle w:val="Compact"/>
            </w:pPr>
            <w:r>
              <w:t>0.939</w:t>
            </w:r>
          </w:p>
        </w:tc>
        <w:tc>
          <w:tcPr>
            <w:tcW w:w="0" w:type="auto"/>
          </w:tcPr>
          <w:p w14:paraId="18F24757" w14:textId="77777777" w:rsidR="00AC0E14" w:rsidRDefault="00000000">
            <w:pPr>
              <w:pStyle w:val="Compact"/>
            </w:pPr>
            <w:r>
              <w:t>NA</w:t>
            </w:r>
          </w:p>
        </w:tc>
        <w:tc>
          <w:tcPr>
            <w:tcW w:w="0" w:type="auto"/>
          </w:tcPr>
          <w:p w14:paraId="21A78A42" w14:textId="77777777" w:rsidR="00AC0E14" w:rsidRDefault="00000000">
            <w:pPr>
              <w:pStyle w:val="Compact"/>
            </w:pPr>
            <w:r>
              <w:t>0.948</w:t>
            </w:r>
          </w:p>
        </w:tc>
      </w:tr>
      <w:tr w:rsidR="00AC0E14" w14:paraId="37F368E6" w14:textId="77777777">
        <w:tc>
          <w:tcPr>
            <w:tcW w:w="0" w:type="auto"/>
          </w:tcPr>
          <w:p w14:paraId="607AE531" w14:textId="77777777" w:rsidR="00AC0E14" w:rsidRDefault="00000000">
            <w:pPr>
              <w:pStyle w:val="Compact"/>
              <w:jc w:val="right"/>
            </w:pPr>
            <w:r>
              <w:t>90</w:t>
            </w:r>
          </w:p>
        </w:tc>
        <w:tc>
          <w:tcPr>
            <w:tcW w:w="0" w:type="auto"/>
          </w:tcPr>
          <w:p w14:paraId="65B761E3" w14:textId="77777777" w:rsidR="00AC0E14" w:rsidRDefault="00000000">
            <w:pPr>
              <w:pStyle w:val="Compact"/>
            </w:pPr>
            <w:r>
              <w:t>0.010</w:t>
            </w:r>
          </w:p>
        </w:tc>
        <w:tc>
          <w:tcPr>
            <w:tcW w:w="0" w:type="auto"/>
          </w:tcPr>
          <w:p w14:paraId="4733408B" w14:textId="77777777" w:rsidR="00AC0E14" w:rsidRDefault="00000000">
            <w:pPr>
              <w:pStyle w:val="Compact"/>
            </w:pPr>
            <w:r>
              <w:t>0.916</w:t>
            </w:r>
          </w:p>
        </w:tc>
        <w:tc>
          <w:tcPr>
            <w:tcW w:w="0" w:type="auto"/>
          </w:tcPr>
          <w:p w14:paraId="143FF0BC" w14:textId="77777777" w:rsidR="00AC0E14" w:rsidRDefault="00000000">
            <w:pPr>
              <w:pStyle w:val="Compact"/>
            </w:pPr>
            <w:r>
              <w:t>0.011</w:t>
            </w:r>
          </w:p>
        </w:tc>
        <w:tc>
          <w:tcPr>
            <w:tcW w:w="0" w:type="auto"/>
          </w:tcPr>
          <w:p w14:paraId="740326C6" w14:textId="77777777" w:rsidR="00AC0E14" w:rsidRDefault="00000000">
            <w:pPr>
              <w:pStyle w:val="Compact"/>
            </w:pPr>
            <w:r>
              <w:t>0.920</w:t>
            </w:r>
          </w:p>
        </w:tc>
      </w:tr>
      <w:tr w:rsidR="00AC0E14" w14:paraId="354134F3" w14:textId="77777777">
        <w:tc>
          <w:tcPr>
            <w:tcW w:w="0" w:type="auto"/>
          </w:tcPr>
          <w:p w14:paraId="100C19D9" w14:textId="77777777" w:rsidR="00AC0E14" w:rsidRDefault="00000000">
            <w:pPr>
              <w:pStyle w:val="Compact"/>
              <w:jc w:val="right"/>
            </w:pPr>
            <w:r>
              <w:t>99</w:t>
            </w:r>
          </w:p>
        </w:tc>
        <w:tc>
          <w:tcPr>
            <w:tcW w:w="0" w:type="auto"/>
          </w:tcPr>
          <w:p w14:paraId="3B484897" w14:textId="77777777" w:rsidR="00AC0E14" w:rsidRDefault="00000000">
            <w:pPr>
              <w:pStyle w:val="Compact"/>
            </w:pPr>
            <w:r>
              <w:t>0.010</w:t>
            </w:r>
          </w:p>
        </w:tc>
        <w:tc>
          <w:tcPr>
            <w:tcW w:w="0" w:type="auto"/>
          </w:tcPr>
          <w:p w14:paraId="5F158984" w14:textId="77777777" w:rsidR="00AC0E14" w:rsidRDefault="00000000">
            <w:pPr>
              <w:pStyle w:val="Compact"/>
            </w:pPr>
            <w:r>
              <w:t>0.911</w:t>
            </w:r>
          </w:p>
        </w:tc>
        <w:tc>
          <w:tcPr>
            <w:tcW w:w="0" w:type="auto"/>
          </w:tcPr>
          <w:p w14:paraId="584983CA" w14:textId="77777777" w:rsidR="00AC0E14" w:rsidRDefault="00000000">
            <w:pPr>
              <w:pStyle w:val="Compact"/>
            </w:pPr>
            <w:r>
              <w:t>0.010</w:t>
            </w:r>
          </w:p>
        </w:tc>
        <w:tc>
          <w:tcPr>
            <w:tcW w:w="0" w:type="auto"/>
          </w:tcPr>
          <w:p w14:paraId="1751B95F" w14:textId="77777777" w:rsidR="00AC0E14" w:rsidRDefault="00000000">
            <w:pPr>
              <w:pStyle w:val="Compact"/>
            </w:pPr>
            <w:r>
              <w:t>0.912</w:t>
            </w:r>
          </w:p>
        </w:tc>
      </w:tr>
    </w:tbl>
    <w:p w14:paraId="2199140A" w14:textId="77777777" w:rsidR="00AC0E14" w:rsidRDefault="00000000">
      <w:pPr>
        <w:pStyle w:val="BodyText"/>
      </w:pPr>
      <w:r>
        <w:t xml:space="preserve">The coverage of the 95% log(-log) confidence interval was close to 95% for all event rates, also for predictions with a much larger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than </w:t>
      </w:r>
      <m:oMath>
        <m:r>
          <w:rPr>
            <w:rFonts w:ascii="Cambria Math" w:hAnsi="Cambria Math"/>
          </w:rPr>
          <m:t>N</m:t>
        </m:r>
      </m:oMath>
      <w:r>
        <w:t xml:space="preserve"> (Table S7.3 and Figure 7 of the main article). The 95% confidence intervals of the coverage, which reflect Monte Carlo error only, all contained 0.95 (Table S7.3).</w:t>
      </w:r>
    </w:p>
    <w:p w14:paraId="08A27B3C" w14:textId="77777777" w:rsidR="00AC0E14" w:rsidRDefault="00000000">
      <w:pPr>
        <w:pStyle w:val="TableCaption"/>
      </w:pPr>
      <w:r>
        <w:lastRenderedPageBreak/>
        <w:t xml:space="preserve">Table S7.3. Coverage of the 95% log(-log) confidence interval (proportion of replications in which the interval contained the true </w:t>
      </w:r>
      <m:oMath>
        <m:r>
          <w:rPr>
            <w:rFonts w:ascii="Cambria Math" w:hAnsi="Cambria Math"/>
          </w:rPr>
          <m:t>S</m:t>
        </m:r>
        <m:d>
          <m:dPr>
            <m:ctrlPr>
              <w:rPr>
                <w:rFonts w:ascii="Cambria Math" w:hAnsi="Cambria Math"/>
              </w:rPr>
            </m:ctrlPr>
          </m:dPr>
          <m:e>
            <m:r>
              <w:rPr>
                <w:rFonts w:ascii="Cambria Math" w:hAnsi="Cambria Math"/>
              </w:rPr>
              <m:t>t|</m:t>
            </m:r>
            <m:r>
              <m:rPr>
                <m:sty m:val="bi"/>
              </m:rPr>
              <w:rPr>
                <w:rFonts w:ascii="Cambria Math" w:hAnsi="Cambria Math"/>
              </w:rPr>
              <m:t>x</m:t>
            </m:r>
          </m:e>
        </m:d>
      </m:oMath>
      <w:r>
        <w:t>, averaged over all combinations of covariate profile, time point and censoring setting), by event rate. The 95% confidence interval of the coverage is a Wilson interval based on the 1000 replications and reflects Monte Carlo error only.</w:t>
      </w:r>
    </w:p>
    <w:tbl>
      <w:tblPr>
        <w:tblStyle w:val="Table"/>
        <w:tblW w:w="0" w:type="auto"/>
        <w:tblLook w:val="0020" w:firstRow="1" w:lastRow="0" w:firstColumn="0" w:lastColumn="0" w:noHBand="0" w:noVBand="0"/>
      </w:tblPr>
      <w:tblGrid>
        <w:gridCol w:w="1643"/>
        <w:gridCol w:w="1201"/>
        <w:gridCol w:w="2707"/>
      </w:tblGrid>
      <w:tr w:rsidR="00AC0E14" w14:paraId="08F215DB" w14:textId="77777777" w:rsidTr="00AC0E14">
        <w:trPr>
          <w:cnfStyle w:val="100000000000" w:firstRow="1" w:lastRow="0" w:firstColumn="0" w:lastColumn="0" w:oddVBand="0" w:evenVBand="0" w:oddHBand="0" w:evenHBand="0" w:firstRowFirstColumn="0" w:firstRowLastColumn="0" w:lastRowFirstColumn="0" w:lastRowLastColumn="0"/>
          <w:tblHeader/>
        </w:trPr>
        <w:tc>
          <w:tcPr>
            <w:tcW w:w="0" w:type="auto"/>
          </w:tcPr>
          <w:p w14:paraId="5C5E57BB" w14:textId="77777777" w:rsidR="00AC0E14" w:rsidRDefault="00000000">
            <w:pPr>
              <w:pStyle w:val="Compact"/>
              <w:jc w:val="right"/>
            </w:pPr>
            <w:r>
              <w:t>Event rate (%)</w:t>
            </w:r>
          </w:p>
        </w:tc>
        <w:tc>
          <w:tcPr>
            <w:tcW w:w="0" w:type="auto"/>
          </w:tcPr>
          <w:p w14:paraId="2A587DD9" w14:textId="77777777" w:rsidR="00AC0E14" w:rsidRDefault="00000000">
            <w:pPr>
              <w:pStyle w:val="Compact"/>
              <w:jc w:val="right"/>
            </w:pPr>
            <w:r>
              <w:t>Coverage</w:t>
            </w:r>
          </w:p>
        </w:tc>
        <w:tc>
          <w:tcPr>
            <w:tcW w:w="0" w:type="auto"/>
          </w:tcPr>
          <w:p w14:paraId="1FE0AA4D" w14:textId="77777777" w:rsidR="00AC0E14" w:rsidRDefault="00000000">
            <w:pPr>
              <w:pStyle w:val="Compact"/>
              <w:jc w:val="right"/>
            </w:pPr>
            <w:r>
              <w:t>95% confidence interval</w:t>
            </w:r>
          </w:p>
        </w:tc>
      </w:tr>
      <w:tr w:rsidR="00AC0E14" w14:paraId="7968ABE9" w14:textId="77777777">
        <w:tc>
          <w:tcPr>
            <w:tcW w:w="0" w:type="auto"/>
          </w:tcPr>
          <w:p w14:paraId="4A3D29C8" w14:textId="77777777" w:rsidR="00AC0E14" w:rsidRDefault="00000000">
            <w:pPr>
              <w:pStyle w:val="Compact"/>
              <w:jc w:val="right"/>
            </w:pPr>
            <w:r>
              <w:t>1</w:t>
            </w:r>
          </w:p>
        </w:tc>
        <w:tc>
          <w:tcPr>
            <w:tcW w:w="0" w:type="auto"/>
          </w:tcPr>
          <w:p w14:paraId="2778B27A" w14:textId="77777777" w:rsidR="00AC0E14" w:rsidRDefault="00000000">
            <w:pPr>
              <w:pStyle w:val="Compact"/>
              <w:jc w:val="right"/>
            </w:pPr>
            <w:r>
              <w:rPr>
                <w:b/>
                <w:bCs/>
              </w:rPr>
              <w:t>0.949</w:t>
            </w:r>
          </w:p>
        </w:tc>
        <w:tc>
          <w:tcPr>
            <w:tcW w:w="0" w:type="auto"/>
          </w:tcPr>
          <w:p w14:paraId="5C63BD79" w14:textId="77777777" w:rsidR="00AC0E14" w:rsidRDefault="00000000">
            <w:pPr>
              <w:pStyle w:val="Compact"/>
              <w:jc w:val="right"/>
            </w:pPr>
            <w:r>
              <w:t>0.933 to 0.961</w:t>
            </w:r>
          </w:p>
        </w:tc>
      </w:tr>
      <w:tr w:rsidR="00AC0E14" w14:paraId="5C874330" w14:textId="77777777">
        <w:tc>
          <w:tcPr>
            <w:tcW w:w="0" w:type="auto"/>
          </w:tcPr>
          <w:p w14:paraId="3F980B7F" w14:textId="77777777" w:rsidR="00AC0E14" w:rsidRDefault="00000000">
            <w:pPr>
              <w:pStyle w:val="Compact"/>
              <w:jc w:val="right"/>
            </w:pPr>
            <w:r>
              <w:t>5</w:t>
            </w:r>
          </w:p>
        </w:tc>
        <w:tc>
          <w:tcPr>
            <w:tcW w:w="0" w:type="auto"/>
          </w:tcPr>
          <w:p w14:paraId="46FDD8BC" w14:textId="77777777" w:rsidR="00AC0E14" w:rsidRDefault="00000000">
            <w:pPr>
              <w:pStyle w:val="Compact"/>
              <w:jc w:val="right"/>
            </w:pPr>
            <w:r>
              <w:rPr>
                <w:b/>
                <w:bCs/>
              </w:rPr>
              <w:t>0.948</w:t>
            </w:r>
          </w:p>
        </w:tc>
        <w:tc>
          <w:tcPr>
            <w:tcW w:w="0" w:type="auto"/>
          </w:tcPr>
          <w:p w14:paraId="137076B9" w14:textId="77777777" w:rsidR="00AC0E14" w:rsidRDefault="00000000">
            <w:pPr>
              <w:pStyle w:val="Compact"/>
              <w:jc w:val="right"/>
            </w:pPr>
            <w:r>
              <w:t>0.932 to 0.960</w:t>
            </w:r>
          </w:p>
        </w:tc>
      </w:tr>
      <w:tr w:rsidR="00AC0E14" w14:paraId="18608FAC" w14:textId="77777777">
        <w:tc>
          <w:tcPr>
            <w:tcW w:w="0" w:type="auto"/>
          </w:tcPr>
          <w:p w14:paraId="4C297A2E" w14:textId="77777777" w:rsidR="00AC0E14" w:rsidRDefault="00000000">
            <w:pPr>
              <w:pStyle w:val="Compact"/>
              <w:jc w:val="right"/>
            </w:pPr>
            <w:r>
              <w:t>10</w:t>
            </w:r>
          </w:p>
        </w:tc>
        <w:tc>
          <w:tcPr>
            <w:tcW w:w="0" w:type="auto"/>
          </w:tcPr>
          <w:p w14:paraId="6E410635" w14:textId="77777777" w:rsidR="00AC0E14" w:rsidRDefault="00000000">
            <w:pPr>
              <w:pStyle w:val="Compact"/>
              <w:jc w:val="right"/>
            </w:pPr>
            <w:r>
              <w:rPr>
                <w:b/>
                <w:bCs/>
              </w:rPr>
              <w:t>0.949</w:t>
            </w:r>
          </w:p>
        </w:tc>
        <w:tc>
          <w:tcPr>
            <w:tcW w:w="0" w:type="auto"/>
          </w:tcPr>
          <w:p w14:paraId="4F9814BE" w14:textId="77777777" w:rsidR="00AC0E14" w:rsidRDefault="00000000">
            <w:pPr>
              <w:pStyle w:val="Compact"/>
              <w:jc w:val="right"/>
            </w:pPr>
            <w:r>
              <w:t>0.934 to 0.961</w:t>
            </w:r>
          </w:p>
        </w:tc>
      </w:tr>
      <w:tr w:rsidR="00AC0E14" w14:paraId="69B1A0B3" w14:textId="77777777">
        <w:tc>
          <w:tcPr>
            <w:tcW w:w="0" w:type="auto"/>
          </w:tcPr>
          <w:p w14:paraId="4B747A5F" w14:textId="77777777" w:rsidR="00AC0E14" w:rsidRDefault="00000000">
            <w:pPr>
              <w:pStyle w:val="Compact"/>
              <w:jc w:val="right"/>
            </w:pPr>
            <w:r>
              <w:t>30</w:t>
            </w:r>
          </w:p>
        </w:tc>
        <w:tc>
          <w:tcPr>
            <w:tcW w:w="0" w:type="auto"/>
          </w:tcPr>
          <w:p w14:paraId="4E8773E4" w14:textId="77777777" w:rsidR="00AC0E14" w:rsidRDefault="00000000">
            <w:pPr>
              <w:pStyle w:val="Compact"/>
              <w:jc w:val="right"/>
            </w:pPr>
            <w:r>
              <w:rPr>
                <w:b/>
                <w:bCs/>
              </w:rPr>
              <w:t>0.952</w:t>
            </w:r>
          </w:p>
        </w:tc>
        <w:tc>
          <w:tcPr>
            <w:tcW w:w="0" w:type="auto"/>
          </w:tcPr>
          <w:p w14:paraId="3D75C274" w14:textId="77777777" w:rsidR="00AC0E14" w:rsidRDefault="00000000">
            <w:pPr>
              <w:pStyle w:val="Compact"/>
              <w:jc w:val="right"/>
            </w:pPr>
            <w:r>
              <w:t>0.937 to 0.964</w:t>
            </w:r>
          </w:p>
        </w:tc>
      </w:tr>
      <w:tr w:rsidR="00AC0E14" w14:paraId="5512F0D2" w14:textId="77777777">
        <w:tc>
          <w:tcPr>
            <w:tcW w:w="0" w:type="auto"/>
          </w:tcPr>
          <w:p w14:paraId="5E6ED495" w14:textId="77777777" w:rsidR="00AC0E14" w:rsidRDefault="00000000">
            <w:pPr>
              <w:pStyle w:val="Compact"/>
              <w:jc w:val="right"/>
            </w:pPr>
            <w:r>
              <w:t>60</w:t>
            </w:r>
          </w:p>
        </w:tc>
        <w:tc>
          <w:tcPr>
            <w:tcW w:w="0" w:type="auto"/>
          </w:tcPr>
          <w:p w14:paraId="5CDE4500" w14:textId="77777777" w:rsidR="00AC0E14" w:rsidRDefault="00000000">
            <w:pPr>
              <w:pStyle w:val="Compact"/>
              <w:jc w:val="right"/>
            </w:pPr>
            <w:r>
              <w:rPr>
                <w:b/>
                <w:bCs/>
              </w:rPr>
              <w:t>0.952</w:t>
            </w:r>
          </w:p>
        </w:tc>
        <w:tc>
          <w:tcPr>
            <w:tcW w:w="0" w:type="auto"/>
          </w:tcPr>
          <w:p w14:paraId="5609E7EA" w14:textId="77777777" w:rsidR="00AC0E14" w:rsidRDefault="00000000">
            <w:pPr>
              <w:pStyle w:val="Compact"/>
              <w:jc w:val="right"/>
            </w:pPr>
            <w:r>
              <w:t>0.937 to 0.964</w:t>
            </w:r>
          </w:p>
        </w:tc>
      </w:tr>
      <w:tr w:rsidR="00AC0E14" w14:paraId="7A8E10B1" w14:textId="77777777">
        <w:tc>
          <w:tcPr>
            <w:tcW w:w="0" w:type="auto"/>
          </w:tcPr>
          <w:p w14:paraId="52AD88F2" w14:textId="77777777" w:rsidR="00AC0E14" w:rsidRDefault="00000000">
            <w:pPr>
              <w:pStyle w:val="Compact"/>
              <w:jc w:val="right"/>
            </w:pPr>
            <w:r>
              <w:t>90</w:t>
            </w:r>
          </w:p>
        </w:tc>
        <w:tc>
          <w:tcPr>
            <w:tcW w:w="0" w:type="auto"/>
          </w:tcPr>
          <w:p w14:paraId="666B91E4" w14:textId="77777777" w:rsidR="00AC0E14" w:rsidRDefault="00000000">
            <w:pPr>
              <w:pStyle w:val="Compact"/>
              <w:jc w:val="right"/>
            </w:pPr>
            <w:r>
              <w:rPr>
                <w:b/>
                <w:bCs/>
              </w:rPr>
              <w:t>0.948</w:t>
            </w:r>
          </w:p>
        </w:tc>
        <w:tc>
          <w:tcPr>
            <w:tcW w:w="0" w:type="auto"/>
          </w:tcPr>
          <w:p w14:paraId="47C8B9D6" w14:textId="77777777" w:rsidR="00AC0E14" w:rsidRDefault="00000000">
            <w:pPr>
              <w:pStyle w:val="Compact"/>
              <w:jc w:val="right"/>
            </w:pPr>
            <w:r>
              <w:t>0.933 to 0.960</w:t>
            </w:r>
          </w:p>
        </w:tc>
      </w:tr>
      <w:tr w:rsidR="00AC0E14" w14:paraId="11F354E6" w14:textId="77777777">
        <w:tc>
          <w:tcPr>
            <w:tcW w:w="0" w:type="auto"/>
          </w:tcPr>
          <w:p w14:paraId="37236138" w14:textId="77777777" w:rsidR="00AC0E14" w:rsidRDefault="00000000">
            <w:pPr>
              <w:pStyle w:val="Compact"/>
              <w:jc w:val="right"/>
            </w:pPr>
            <w:r>
              <w:t>99</w:t>
            </w:r>
          </w:p>
        </w:tc>
        <w:tc>
          <w:tcPr>
            <w:tcW w:w="0" w:type="auto"/>
          </w:tcPr>
          <w:p w14:paraId="63557231" w14:textId="77777777" w:rsidR="00AC0E14" w:rsidRDefault="00000000">
            <w:pPr>
              <w:pStyle w:val="Compact"/>
              <w:jc w:val="right"/>
            </w:pPr>
            <w:r>
              <w:rPr>
                <w:b/>
                <w:bCs/>
              </w:rPr>
              <w:t>0.949</w:t>
            </w:r>
          </w:p>
        </w:tc>
        <w:tc>
          <w:tcPr>
            <w:tcW w:w="0" w:type="auto"/>
          </w:tcPr>
          <w:p w14:paraId="600A9B43" w14:textId="77777777" w:rsidR="00AC0E14" w:rsidRDefault="00000000">
            <w:pPr>
              <w:pStyle w:val="Compact"/>
              <w:jc w:val="right"/>
            </w:pPr>
            <w:r>
              <w:t>0.933 to 0.961</w:t>
            </w:r>
          </w:p>
        </w:tc>
      </w:tr>
    </w:tbl>
    <w:p w14:paraId="3F0CC330" w14:textId="77777777" w:rsidR="00AC0E14" w:rsidRDefault="00000000">
      <w:pPr>
        <w:pStyle w:val="Heading3"/>
      </w:pPr>
      <w:bookmarkStart w:id="17" w:name="sensitivity-analyses"/>
      <w:bookmarkEnd w:id="16"/>
      <w:r>
        <w:t>Sensitivity analyses</w:t>
      </w:r>
    </w:p>
    <w:p w14:paraId="67A8D4CA" w14:textId="77777777" w:rsidR="00AC0E14" w:rsidRDefault="00000000">
      <w:pPr>
        <w:pStyle w:val="FirstParagraph"/>
      </w:pPr>
      <w:r>
        <w:rPr>
          <w:b/>
          <w:bCs/>
        </w:rPr>
        <w:t>Harrell’s C.</w:t>
      </w:r>
      <w:r>
        <w:t xml:space="preserve"> We added scenarios with a Harrell’s C of 0.6 and 0.9 at event rates of 5%, 30% and 90% (no censoring, </w:t>
      </w:r>
      <m:oMath>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e</m:t>
        </m:r>
      </m:oMath>
      <w:r>
        <w:t xml:space="preserve">) to the scenarios of the main simulation with </w:t>
      </w:r>
      <m:oMath>
        <m:r>
          <w:rPr>
            <w:rFonts w:ascii="Cambria Math" w:hAnsi="Cambria Math"/>
          </w:rPr>
          <m:t>C</m:t>
        </m:r>
        <m:r>
          <m:rPr>
            <m:sty m:val="p"/>
          </m:rPr>
          <w:rPr>
            <w:rFonts w:ascii="Cambria Math" w:hAnsi="Cambria Math"/>
          </w:rPr>
          <m:t>=</m:t>
        </m:r>
        <m:r>
          <w:rPr>
            <w:rFonts w:ascii="Cambria Math" w:hAnsi="Cambria Math"/>
          </w:rPr>
          <m:t>0.8</m:t>
        </m:r>
      </m:oMath>
      <w:r>
        <w:t xml:space="preserve">. For each event rate, the survival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 xml:space="preserve"> above which more than 5% of the predictions had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differed by at most 0.015 between the three values of Harrell’s C (Figure S7.1), which was small compared with the differences between event rates. Harrell’s C determined how many patients had a survival probability in the range where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occurred, because a higher C implied that the survival probabilities were spread over a wider range. Figure S7.2 confirms that the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increased clearly with higher values of C.</w:t>
      </w:r>
    </w:p>
    <w:p w14:paraId="52F826BE" w14:textId="77777777" w:rsidR="00AC0E14" w:rsidRDefault="00000000">
      <w:pPr>
        <w:pStyle w:val="CaptionedFigure"/>
      </w:pPr>
      <w:r>
        <w:rPr>
          <w:noProof/>
        </w:rPr>
        <w:drawing>
          <wp:inline distT="0" distB="0" distL="0" distR="0" wp14:anchorId="749954CF" wp14:editId="395773E6">
            <wp:extent cx="5334000" cy="1866899"/>
            <wp:effectExtent l="0" t="0" r="0" b="0"/>
            <wp:docPr id="38" name="Picture" descr="Figure S7.1. Percentage of predictions with \widehat{N}_* &gt; N against the true survival S(t|\mathbf{x}) (logit scale) for a Harrell’s C of 0.6, 0.8 and 0.9, at event rates of 5%, 30% and 90% (no censoring). Dashed line: 5%."/>
            <wp:cNvGraphicFramePr/>
            <a:graphic xmlns:a="http://schemas.openxmlformats.org/drawingml/2006/main">
              <a:graphicData uri="http://schemas.openxmlformats.org/drawingml/2006/picture">
                <pic:pic xmlns:pic="http://schemas.openxmlformats.org/drawingml/2006/picture">
                  <pic:nvPicPr>
                    <pic:cNvPr id="39" name="Picture" descr="supplement_files/figure-docx/s7-fig-C-1.png"/>
                    <pic:cNvPicPr>
                      <a:picLocks noChangeAspect="1" noChangeArrowheads="1"/>
                    </pic:cNvPicPr>
                  </pic:nvPicPr>
                  <pic:blipFill>
                    <a:blip r:embed="rId10"/>
                    <a:stretch>
                      <a:fillRect/>
                    </a:stretch>
                  </pic:blipFill>
                  <pic:spPr bwMode="auto">
                    <a:xfrm>
                      <a:off x="0" y="0"/>
                      <a:ext cx="5334000" cy="1866899"/>
                    </a:xfrm>
                    <a:prstGeom prst="rect">
                      <a:avLst/>
                    </a:prstGeom>
                    <a:noFill/>
                    <a:ln w="9525">
                      <a:noFill/>
                      <a:headEnd/>
                      <a:tailEnd/>
                    </a:ln>
                  </pic:spPr>
                </pic:pic>
              </a:graphicData>
            </a:graphic>
          </wp:inline>
        </w:drawing>
      </w:r>
    </w:p>
    <w:p w14:paraId="14F32D4E" w14:textId="77777777" w:rsidR="00AC0E14" w:rsidRDefault="00000000">
      <w:pPr>
        <w:pStyle w:val="ImageCaption"/>
      </w:pPr>
      <w:r>
        <w:t xml:space="preserve">Figure S7.1.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m:t>
            </m:r>
          </m:sub>
        </m:sSub>
        <m:r>
          <w:rPr>
            <w:rFonts w:ascii="Cambria Math" w:hAnsi="Cambria Math"/>
          </w:rPr>
          <m:t>&gt;N</m:t>
        </m:r>
      </m:oMath>
      <w:r>
        <w:t xml:space="preserve"> against the true survival </w:t>
      </w:r>
      <m:oMath>
        <m:r>
          <w:rPr>
            <w:rFonts w:ascii="Cambria Math" w:hAnsi="Cambria Math"/>
          </w:rPr>
          <m:t>S</m:t>
        </m:r>
        <m:d>
          <m:dPr>
            <m:ctrlPr>
              <w:rPr>
                <w:rFonts w:ascii="Cambria Math" w:hAnsi="Cambria Math"/>
              </w:rPr>
            </m:ctrlPr>
          </m:dPr>
          <m:e>
            <m:r>
              <w:rPr>
                <w:rFonts w:ascii="Cambria Math" w:hAnsi="Cambria Math"/>
              </w:rPr>
              <m:t>t|</m:t>
            </m:r>
            <m:r>
              <m:rPr>
                <m:sty m:val="bi"/>
              </m:rPr>
              <w:rPr>
                <w:rFonts w:ascii="Cambria Math" w:hAnsi="Cambria Math"/>
              </w:rPr>
              <m:t>x</m:t>
            </m:r>
          </m:e>
        </m:d>
      </m:oMath>
      <w:r>
        <w:t xml:space="preserve"> (logit scale) for a Harrell’s C of 0.6, 0.8 and 0.9, at event rates of 5%, 30% and 90% (no censoring). Dashed line: 5%.</w:t>
      </w:r>
    </w:p>
    <w:p w14:paraId="501DBA7D" w14:textId="77777777" w:rsidR="00AC0E14" w:rsidRDefault="00000000">
      <w:pPr>
        <w:pStyle w:val="CaptionedFigure"/>
      </w:pPr>
      <w:r>
        <w:rPr>
          <w:noProof/>
        </w:rPr>
        <w:lastRenderedPageBreak/>
        <w:drawing>
          <wp:inline distT="0" distB="0" distL="0" distR="0" wp14:anchorId="6B060B34" wp14:editId="61E8C31F">
            <wp:extent cx="5334000" cy="1866899"/>
            <wp:effectExtent l="0" t="0" r="0" b="0"/>
            <wp:docPr id="41" name="Picture" descr="Figure S7.2. Percentage of all predictions with \widehat{N}_* &gt; N against the percentage of events observed, by Harrell’s C and event rate (no censoring)."/>
            <wp:cNvGraphicFramePr/>
            <a:graphic xmlns:a="http://schemas.openxmlformats.org/drawingml/2006/main">
              <a:graphicData uri="http://schemas.openxmlformats.org/drawingml/2006/picture">
                <pic:pic xmlns:pic="http://schemas.openxmlformats.org/drawingml/2006/picture">
                  <pic:nvPicPr>
                    <pic:cNvPr id="42" name="Picture" descr="supplement_files/figure-docx/s7-fig-csens-share-1.png"/>
                    <pic:cNvPicPr>
                      <a:picLocks noChangeAspect="1" noChangeArrowheads="1"/>
                    </pic:cNvPicPr>
                  </pic:nvPicPr>
                  <pic:blipFill>
                    <a:blip r:embed="rId11"/>
                    <a:stretch>
                      <a:fillRect/>
                    </a:stretch>
                  </pic:blipFill>
                  <pic:spPr bwMode="auto">
                    <a:xfrm>
                      <a:off x="0" y="0"/>
                      <a:ext cx="5334000" cy="1866899"/>
                    </a:xfrm>
                    <a:prstGeom prst="rect">
                      <a:avLst/>
                    </a:prstGeom>
                    <a:noFill/>
                    <a:ln w="9525">
                      <a:noFill/>
                      <a:headEnd/>
                      <a:tailEnd/>
                    </a:ln>
                  </pic:spPr>
                </pic:pic>
              </a:graphicData>
            </a:graphic>
          </wp:inline>
        </w:drawing>
      </w:r>
    </w:p>
    <w:p w14:paraId="1F882D3F" w14:textId="77777777" w:rsidR="00AC0E14" w:rsidRDefault="00000000">
      <w:pPr>
        <w:pStyle w:val="ImageCaption"/>
      </w:pPr>
      <w:r>
        <w:t xml:space="preserve">Figure S7.2. Percentage of all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m:t>
            </m:r>
          </m:sub>
        </m:sSub>
        <m:r>
          <w:rPr>
            <w:rFonts w:ascii="Cambria Math" w:hAnsi="Cambria Math"/>
          </w:rPr>
          <m:t>&gt;N</m:t>
        </m:r>
      </m:oMath>
      <w:r>
        <w:t xml:space="preserve"> against the percentage of events observed, by Harrell’s C and event rate (no censoring).</w:t>
      </w:r>
    </w:p>
    <w:p w14:paraId="463C8993" w14:textId="77777777" w:rsidR="00AC0E14" w:rsidRDefault="00000000">
      <w:pPr>
        <w:pStyle w:val="BodyText"/>
      </w:pPr>
      <w:r>
        <w:rPr>
          <w:b/>
          <w:bCs/>
        </w:rPr>
        <w:t>Number of predictors and noise predictors.</w:t>
      </w:r>
      <w:r>
        <w:t xml:space="preserve"> We varied the number of true predictors (</w:t>
      </w:r>
      <m:oMath>
        <m:r>
          <w:rPr>
            <w:rFonts w:ascii="Cambria Math" w:hAnsi="Cambria Math"/>
          </w:rPr>
          <m:t>k</m:t>
        </m:r>
      </m:oMath>
      <w:r>
        <w:t xml:space="preserve"> continuous and </w:t>
      </w:r>
      <m:oMath>
        <m:r>
          <w:rPr>
            <w:rFonts w:ascii="Cambria Math" w:hAnsi="Cambria Math"/>
          </w:rPr>
          <m:t>k</m:t>
        </m:r>
      </m:oMath>
      <w:r>
        <w:t xml:space="preserve"> binary, with </w:t>
      </w:r>
      <m:oMath>
        <m:r>
          <w:rPr>
            <w:rFonts w:ascii="Cambria Math" w:hAnsi="Cambria Math"/>
          </w:rPr>
          <m:t>k</m:t>
        </m:r>
      </m:oMath>
      <w:r>
        <w:t xml:space="preserve"> = 1, 3 and 10), with and without </w:t>
      </w:r>
      <m:oMath>
        <m:r>
          <w:rPr>
            <w:rFonts w:ascii="Cambria Math" w:hAnsi="Cambria Math"/>
          </w:rPr>
          <m:t>k</m:t>
        </m:r>
      </m:oMath>
      <w:r>
        <w:t xml:space="preserve"> added predictors unrelated to the outcome (</w:t>
      </w:r>
      <m:oMath>
        <m:r>
          <w:rPr>
            <w:rFonts w:ascii="Cambria Math" w:hAnsi="Cambria Math"/>
          </w:rPr>
          <m:t>N</m:t>
        </m:r>
        <m:r>
          <m:rPr>
            <m:sty m:val="p"/>
          </m:rPr>
          <w:rPr>
            <w:rFonts w:ascii="Cambria Math" w:hAnsi="Cambria Math"/>
          </w:rPr>
          <m:t>=</m:t>
        </m:r>
        <m:r>
          <w:rPr>
            <w:rFonts w:ascii="Cambria Math" w:hAnsi="Cambria Math"/>
          </w:rPr>
          <m:t>1000</m:t>
        </m:r>
      </m:oMath>
      <w:r>
        <w:t xml:space="preserve">, an event rate of 90%, no censoring). Because Harrell’s C and the fraction of events observed had little influence, we pooled over them (Figure S7.3). Compared with </w:t>
      </w:r>
      <m:oMath>
        <m:r>
          <w:rPr>
            <w:rFonts w:ascii="Cambria Math" w:hAnsi="Cambria Math"/>
          </w:rPr>
          <m:t>k</m:t>
        </m:r>
        <m:r>
          <m:rPr>
            <m:sty m:val="p"/>
          </m:rPr>
          <w:rPr>
            <w:rFonts w:ascii="Cambria Math" w:hAnsi="Cambria Math"/>
          </w:rPr>
          <m:t>=</m:t>
        </m:r>
        <m:r>
          <w:rPr>
            <w:rFonts w:ascii="Cambria Math" w:hAnsi="Cambria Math"/>
          </w:rPr>
          <m:t>3</m:t>
        </m:r>
      </m:oMath>
      <w:r>
        <w:t xml:space="preserve"> (threshold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 xml:space="preserve"> = 0.93), the threshold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 xml:space="preserve"> above which more than 5% of the predictions had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decreased by 0.07 (from 0.93 to 0.86) for </w:t>
      </w:r>
      <m:oMath>
        <m:r>
          <w:rPr>
            <w:rFonts w:ascii="Cambria Math" w:hAnsi="Cambria Math"/>
          </w:rPr>
          <m:t>k</m:t>
        </m:r>
        <m:r>
          <m:rPr>
            <m:sty m:val="p"/>
          </m:rPr>
          <w:rPr>
            <w:rFonts w:ascii="Cambria Math" w:hAnsi="Cambria Math"/>
          </w:rPr>
          <m:t>=</m:t>
        </m:r>
        <m:r>
          <w:rPr>
            <w:rFonts w:ascii="Cambria Math" w:hAnsi="Cambria Math"/>
          </w:rPr>
          <m:t>1</m:t>
        </m:r>
      </m:oMath>
      <w:r>
        <w:t xml:space="preserve"> and increased by 0.03 (from 0.93 to 0.96) for </w:t>
      </w:r>
      <m:oMath>
        <m:r>
          <w:rPr>
            <w:rFonts w:ascii="Cambria Math" w:hAnsi="Cambria Math"/>
          </w:rPr>
          <m:t>k</m:t>
        </m:r>
        <m:r>
          <m:rPr>
            <m:sty m:val="p"/>
          </m:rPr>
          <w:rPr>
            <w:rFonts w:ascii="Cambria Math" w:hAnsi="Cambria Math"/>
          </w:rPr>
          <m:t>=</m:t>
        </m:r>
        <m:r>
          <w:rPr>
            <w:rFonts w:ascii="Cambria Math" w:hAnsi="Cambria Math"/>
          </w:rPr>
          <m:t>10</m:t>
        </m:r>
      </m:oMath>
      <w:r>
        <w:t xml:space="preserve">. Adding noise predictors to </w:t>
      </w:r>
      <m:oMath>
        <m:r>
          <w:rPr>
            <w:rFonts w:ascii="Cambria Math" w:hAnsi="Cambria Math"/>
          </w:rPr>
          <m:t>k</m:t>
        </m:r>
        <m:r>
          <m:rPr>
            <m:sty m:val="p"/>
          </m:rPr>
          <w:rPr>
            <w:rFonts w:ascii="Cambria Math" w:hAnsi="Cambria Math"/>
          </w:rPr>
          <m:t>=</m:t>
        </m:r>
        <m:r>
          <w:rPr>
            <w:rFonts w:ascii="Cambria Math" w:hAnsi="Cambria Math"/>
          </w:rPr>
          <m:t>3</m:t>
        </m:r>
      </m:oMath>
      <w:r>
        <w:t xml:space="preserve"> changed the threshold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 xml:space="preserve"> to 0.94. This is as expected: the more parameters are estimated, the more uncertain a prediction is, and the lower the effective sample size. Noise predictors add uncertainty without adding information, and therefore reduced the effective sample size in the same way. Over cells of time point and band of true survival, the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differed from that with </w:t>
      </w:r>
      <m:oMath>
        <m:r>
          <w:rPr>
            <w:rFonts w:ascii="Cambria Math" w:hAnsi="Cambria Math"/>
          </w:rPr>
          <m:t>k</m:t>
        </m:r>
        <m:r>
          <m:rPr>
            <m:sty m:val="p"/>
          </m:rPr>
          <w:rPr>
            <w:rFonts w:ascii="Cambria Math" w:hAnsi="Cambria Math"/>
          </w:rPr>
          <m:t>=</m:t>
        </m:r>
        <m:r>
          <w:rPr>
            <w:rFonts w:ascii="Cambria Math" w:hAnsi="Cambria Math"/>
          </w:rPr>
          <m:t>3</m:t>
        </m:r>
      </m:oMath>
      <w:r>
        <w:t xml:space="preserve"> by on average at most 8.5 percentage points (maximum 77.7) for other numbers of predictors, and by on average at most 2.7 percentage points (maximum 30.5) when noise predictors were added.</w:t>
      </w:r>
    </w:p>
    <w:p w14:paraId="1B76B561" w14:textId="77777777" w:rsidR="00AC0E14" w:rsidRDefault="00000000">
      <w:pPr>
        <w:pStyle w:val="CaptionedFigure"/>
      </w:pPr>
      <w:r>
        <w:rPr>
          <w:noProof/>
        </w:rPr>
        <w:lastRenderedPageBreak/>
        <w:drawing>
          <wp:inline distT="0" distB="0" distL="0" distR="0" wp14:anchorId="39927892" wp14:editId="432839A1">
            <wp:extent cx="5334000" cy="3137647"/>
            <wp:effectExtent l="0" t="0" r="0" b="0"/>
            <wp:docPr id="44" name="Picture" descr="Figure S7.3. Percentage of predictions with \widehat{N}_* &gt; N against the true survival S(t|\mathbf{x}) (logit scale) for 1, 3 and 10 true predictors (k continuous and k binary), without (solid) and with (dashed) k added noise predictors (N = 1000, an event rate of 90%, no censoring), pooled over Harrell’s C and the fraction of events observed. Dashed horizontal line: 5%."/>
            <wp:cNvGraphicFramePr/>
            <a:graphic xmlns:a="http://schemas.openxmlformats.org/drawingml/2006/main">
              <a:graphicData uri="http://schemas.openxmlformats.org/drawingml/2006/picture">
                <pic:pic xmlns:pic="http://schemas.openxmlformats.org/drawingml/2006/picture">
                  <pic:nvPicPr>
                    <pic:cNvPr id="45" name="Picture" descr="supplement_files/figure-docx/s7-fig-settings-1.png"/>
                    <pic:cNvPicPr>
                      <a:picLocks noChangeAspect="1" noChangeArrowheads="1"/>
                    </pic:cNvPicPr>
                  </pic:nvPicPr>
                  <pic:blipFill>
                    <a:blip r:embed="rId12"/>
                    <a:stretch>
                      <a:fillRect/>
                    </a:stretch>
                  </pic:blipFill>
                  <pic:spPr bwMode="auto">
                    <a:xfrm>
                      <a:off x="0" y="0"/>
                      <a:ext cx="5334000" cy="3137647"/>
                    </a:xfrm>
                    <a:prstGeom prst="rect">
                      <a:avLst/>
                    </a:prstGeom>
                    <a:noFill/>
                    <a:ln w="9525">
                      <a:noFill/>
                      <a:headEnd/>
                      <a:tailEnd/>
                    </a:ln>
                  </pic:spPr>
                </pic:pic>
              </a:graphicData>
            </a:graphic>
          </wp:inline>
        </w:drawing>
      </w:r>
    </w:p>
    <w:p w14:paraId="34191013" w14:textId="77777777" w:rsidR="00AC0E14" w:rsidRDefault="00000000">
      <w:pPr>
        <w:pStyle w:val="ImageCaption"/>
      </w:pPr>
      <w:r>
        <w:t xml:space="preserve">Figure S7.3.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m:t>
            </m:r>
          </m:sub>
        </m:sSub>
        <m:r>
          <w:rPr>
            <w:rFonts w:ascii="Cambria Math" w:hAnsi="Cambria Math"/>
          </w:rPr>
          <m:t>&gt;N</m:t>
        </m:r>
      </m:oMath>
      <w:r>
        <w:t xml:space="preserve"> against the true survival </w:t>
      </w:r>
      <m:oMath>
        <m:r>
          <w:rPr>
            <w:rFonts w:ascii="Cambria Math" w:hAnsi="Cambria Math"/>
          </w:rPr>
          <m:t>S</m:t>
        </m:r>
        <m:d>
          <m:dPr>
            <m:ctrlPr>
              <w:rPr>
                <w:rFonts w:ascii="Cambria Math" w:hAnsi="Cambria Math"/>
              </w:rPr>
            </m:ctrlPr>
          </m:dPr>
          <m:e>
            <m:r>
              <w:rPr>
                <w:rFonts w:ascii="Cambria Math" w:hAnsi="Cambria Math"/>
              </w:rPr>
              <m:t>t|</m:t>
            </m:r>
            <m:r>
              <m:rPr>
                <m:sty m:val="bi"/>
              </m:rPr>
              <w:rPr>
                <w:rFonts w:ascii="Cambria Math" w:hAnsi="Cambria Math"/>
              </w:rPr>
              <m:t>x</m:t>
            </m:r>
          </m:e>
        </m:d>
      </m:oMath>
      <w:r>
        <w:t xml:space="preserve"> (logit scale) for 1, 3 and 10 true predictors (</w:t>
      </w:r>
      <m:oMath>
        <m:r>
          <w:rPr>
            <w:rFonts w:ascii="Cambria Math" w:hAnsi="Cambria Math"/>
          </w:rPr>
          <m:t>k</m:t>
        </m:r>
      </m:oMath>
      <w:r>
        <w:t xml:space="preserve"> continuous and </w:t>
      </w:r>
      <m:oMath>
        <m:r>
          <w:rPr>
            <w:rFonts w:ascii="Cambria Math" w:hAnsi="Cambria Math"/>
          </w:rPr>
          <m:t>k</m:t>
        </m:r>
      </m:oMath>
      <w:r>
        <w:t xml:space="preserve"> binary), without (solid) and with (dashed) </w:t>
      </w:r>
      <m:oMath>
        <m:r>
          <w:rPr>
            <w:rFonts w:ascii="Cambria Math" w:hAnsi="Cambria Math"/>
          </w:rPr>
          <m:t>k</m:t>
        </m:r>
      </m:oMath>
      <w:r>
        <w:t xml:space="preserve"> added noise predictors (</w:t>
      </w:r>
      <m:oMath>
        <m:r>
          <w:rPr>
            <w:rFonts w:ascii="Cambria Math" w:hAnsi="Cambria Math"/>
          </w:rPr>
          <m:t>N=1000</m:t>
        </m:r>
      </m:oMath>
      <w:r>
        <w:t>, an event rate of 90%, no censoring), pooled over Harrell’s C and the fraction of events observed. Dashed horizontal line: 5%.</w:t>
      </w:r>
    </w:p>
    <w:p w14:paraId="408A6778" w14:textId="77777777" w:rsidR="00AC0E14" w:rsidRDefault="00000000">
      <w:pPr>
        <w:pStyle w:val="BodyText"/>
      </w:pPr>
      <w:r>
        <w:rPr>
          <w:b/>
          <w:bCs/>
        </w:rPr>
        <w:t>Weibull shape.</w:t>
      </w:r>
      <w:r>
        <w:t xml:space="preserve"> We changed the Weibull shape in the reference scenario (</w:t>
      </w:r>
      <m:oMath>
        <m:r>
          <w:rPr>
            <w:rFonts w:ascii="Cambria Math" w:hAnsi="Cambria Math"/>
          </w:rPr>
          <m:t>γ</m:t>
        </m:r>
      </m:oMath>
      <w:r>
        <w:t xml:space="preserve"> = 0.7, 1 or 1.5; Harrell’s C = 0.7, event rate 90%, </w:t>
      </w:r>
      <m:oMath>
        <m:r>
          <w:rPr>
            <w:rFonts w:ascii="Cambria Math" w:hAnsi="Cambria Math"/>
          </w:rPr>
          <m:t>N</m:t>
        </m:r>
        <m:r>
          <m:rPr>
            <m:sty m:val="p"/>
          </m:rPr>
          <w:rPr>
            <w:rFonts w:ascii="Cambria Math" w:hAnsi="Cambria Math"/>
          </w:rPr>
          <m:t>=</m:t>
        </m:r>
        <m:r>
          <w:rPr>
            <w:rFonts w:ascii="Cambria Math" w:hAnsi="Cambria Math"/>
          </w:rPr>
          <m:t>1000</m:t>
        </m:r>
      </m:oMath>
      <w:r>
        <w:t xml:space="preserve">, no censoring). The Cox model is invariant to monotone transformations of time, so the estimates, and therefore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are the same up to the calibration of the scale. Compared with shape 1, the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was unaffected (maximum difference 0.0 percentage points; Figure S7.4). The shape can only matter when the censoring distribution is tied to the time scale, as in the next sensitivity analysis.</w:t>
      </w:r>
    </w:p>
    <w:p w14:paraId="18B033C6" w14:textId="77777777" w:rsidR="00AC0E14" w:rsidRDefault="00000000">
      <w:pPr>
        <w:pStyle w:val="CaptionedFigure"/>
      </w:pPr>
      <w:r>
        <w:rPr>
          <w:noProof/>
        </w:rPr>
        <w:lastRenderedPageBreak/>
        <w:drawing>
          <wp:inline distT="0" distB="0" distL="0" distR="0" wp14:anchorId="79379EFD" wp14:editId="65DB5761">
            <wp:extent cx="5334000" cy="3137647"/>
            <wp:effectExtent l="0" t="0" r="0" b="0"/>
            <wp:docPr id="47" name="Picture" descr="Figure S7.4. Percentage of predictions with \widehat{N}_* &gt; N against the true survival S(t|\mathbf{x}) (logit scale) for a Weibull shape of 0.7, 1 and 1.5 (Harrell’s C = 0.7, event rate 90%, N = 1000, no censoring), pooled over the time points. Dashed line: 5%."/>
            <wp:cNvGraphicFramePr/>
            <a:graphic xmlns:a="http://schemas.openxmlformats.org/drawingml/2006/main">
              <a:graphicData uri="http://schemas.openxmlformats.org/drawingml/2006/picture">
                <pic:pic xmlns:pic="http://schemas.openxmlformats.org/drawingml/2006/picture">
                  <pic:nvPicPr>
                    <pic:cNvPr id="48" name="Picture" descr="supplement_files/figure-docx/s7-fig-shape-1.png"/>
                    <pic:cNvPicPr>
                      <a:picLocks noChangeAspect="1" noChangeArrowheads="1"/>
                    </pic:cNvPicPr>
                  </pic:nvPicPr>
                  <pic:blipFill>
                    <a:blip r:embed="rId13"/>
                    <a:stretch>
                      <a:fillRect/>
                    </a:stretch>
                  </pic:blipFill>
                  <pic:spPr bwMode="auto">
                    <a:xfrm>
                      <a:off x="0" y="0"/>
                      <a:ext cx="5334000" cy="3137647"/>
                    </a:xfrm>
                    <a:prstGeom prst="rect">
                      <a:avLst/>
                    </a:prstGeom>
                    <a:noFill/>
                    <a:ln w="9525">
                      <a:noFill/>
                      <a:headEnd/>
                      <a:tailEnd/>
                    </a:ln>
                  </pic:spPr>
                </pic:pic>
              </a:graphicData>
            </a:graphic>
          </wp:inline>
        </w:drawing>
      </w:r>
    </w:p>
    <w:p w14:paraId="3ABEE9DA" w14:textId="77777777" w:rsidR="00AC0E14" w:rsidRDefault="00000000">
      <w:pPr>
        <w:pStyle w:val="ImageCaption"/>
      </w:pPr>
      <w:r>
        <w:t xml:space="preserve">Figure S7.4.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m:t>
            </m:r>
          </m:sub>
        </m:sSub>
        <m:r>
          <w:rPr>
            <w:rFonts w:ascii="Cambria Math" w:hAnsi="Cambria Math"/>
          </w:rPr>
          <m:t>&gt;N</m:t>
        </m:r>
      </m:oMath>
      <w:r>
        <w:t xml:space="preserve"> against the true survival </w:t>
      </w:r>
      <m:oMath>
        <m:r>
          <w:rPr>
            <w:rFonts w:ascii="Cambria Math" w:hAnsi="Cambria Math"/>
          </w:rPr>
          <m:t>S</m:t>
        </m:r>
        <m:d>
          <m:dPr>
            <m:ctrlPr>
              <w:rPr>
                <w:rFonts w:ascii="Cambria Math" w:hAnsi="Cambria Math"/>
              </w:rPr>
            </m:ctrlPr>
          </m:dPr>
          <m:e>
            <m:r>
              <w:rPr>
                <w:rFonts w:ascii="Cambria Math" w:hAnsi="Cambria Math"/>
              </w:rPr>
              <m:t>t|</m:t>
            </m:r>
            <m:r>
              <m:rPr>
                <m:sty m:val="bi"/>
              </m:rPr>
              <w:rPr>
                <w:rFonts w:ascii="Cambria Math" w:hAnsi="Cambria Math"/>
              </w:rPr>
              <m:t>x</m:t>
            </m:r>
          </m:e>
        </m:d>
      </m:oMath>
      <w:r>
        <w:t xml:space="preserve"> (logit scale) for a Weibull shape of 0.7, 1 and 1.5 (Harrell’s C = 0.7, event rate 90%, </w:t>
      </w:r>
      <m:oMath>
        <m:r>
          <w:rPr>
            <w:rFonts w:ascii="Cambria Math" w:hAnsi="Cambria Math"/>
          </w:rPr>
          <m:t>N=1000</m:t>
        </m:r>
      </m:oMath>
      <w:r>
        <w:t>, no censoring), pooled over the time points. Dashed line: 5%.</w:t>
      </w:r>
    </w:p>
    <w:p w14:paraId="491E2F81" w14:textId="77777777" w:rsidR="00AC0E14" w:rsidRDefault="00000000">
      <w:pPr>
        <w:pStyle w:val="BodyText"/>
      </w:pPr>
      <w:r>
        <w:rPr>
          <w:b/>
          <w:bCs/>
        </w:rPr>
        <w:t>Random censoring.</w:t>
      </w:r>
      <w:r>
        <w:t xml:space="preserve"> We combined no or uniform censoring with random censoring (loss to follow-up, independent exponential) of intensity 0 (none), 1 (regular: 10% of the patients were lost by the end of follow-up if no event occurred first) or 5 (severe: five times the hazard of loss), at event rates of 10%, 30% and 60% and a Harrell’s C of 0.7, pooled over the fraction of events observed (Figure S7.5). The mean coverage of the 95% confidence interval in bands of true survival ranged from 0.929 to 0.961 over all combinations (Figure S7.6).</w:t>
      </w:r>
    </w:p>
    <w:p w14:paraId="26114381" w14:textId="77777777" w:rsidR="00AC0E14" w:rsidRDefault="00000000">
      <w:pPr>
        <w:pStyle w:val="CaptionedFigure"/>
      </w:pPr>
      <w:r>
        <w:rPr>
          <w:noProof/>
        </w:rPr>
        <w:drawing>
          <wp:inline distT="0" distB="0" distL="0" distR="0" wp14:anchorId="2AB40DAA" wp14:editId="587CFC09">
            <wp:extent cx="5334000" cy="1939636"/>
            <wp:effectExtent l="0" t="0" r="0" b="0"/>
            <wp:docPr id="50" name="Picture" descr="Figure S7.5. Percentage of predictions with \widehat{N}_* &gt; N against the true survival S(t|\mathbf{x}) (logit scale) with no (solid) or uniform (dashed) censoring combined with random censoring of intensity 0 (none), 1 (regular) and 5 (severe), by event rate (Harrell’s C = 0.7), pooled over the fraction of events observed. Dashed horizontal line: 5%."/>
            <wp:cNvGraphicFramePr/>
            <a:graphic xmlns:a="http://schemas.openxmlformats.org/drawingml/2006/main">
              <a:graphicData uri="http://schemas.openxmlformats.org/drawingml/2006/picture">
                <pic:pic xmlns:pic="http://schemas.openxmlformats.org/drawingml/2006/picture">
                  <pic:nvPicPr>
                    <pic:cNvPr id="51" name="Picture" descr="supplement_files/figure-docx/s7-fig-cens-1.png"/>
                    <pic:cNvPicPr>
                      <a:picLocks noChangeAspect="1" noChangeArrowheads="1"/>
                    </pic:cNvPicPr>
                  </pic:nvPicPr>
                  <pic:blipFill>
                    <a:blip r:embed="rId14"/>
                    <a:stretch>
                      <a:fillRect/>
                    </a:stretch>
                  </pic:blipFill>
                  <pic:spPr bwMode="auto">
                    <a:xfrm>
                      <a:off x="0" y="0"/>
                      <a:ext cx="5334000" cy="1939636"/>
                    </a:xfrm>
                    <a:prstGeom prst="rect">
                      <a:avLst/>
                    </a:prstGeom>
                    <a:noFill/>
                    <a:ln w="9525">
                      <a:noFill/>
                      <a:headEnd/>
                      <a:tailEnd/>
                    </a:ln>
                  </pic:spPr>
                </pic:pic>
              </a:graphicData>
            </a:graphic>
          </wp:inline>
        </w:drawing>
      </w:r>
    </w:p>
    <w:p w14:paraId="7F5764F5" w14:textId="77777777" w:rsidR="00AC0E14" w:rsidRDefault="00000000">
      <w:pPr>
        <w:pStyle w:val="ImageCaption"/>
      </w:pPr>
      <w:r>
        <w:t xml:space="preserve">Figure S7.5. Percentage of predictions with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m:t>
            </m:r>
          </m:sub>
        </m:sSub>
        <m:r>
          <w:rPr>
            <w:rFonts w:ascii="Cambria Math" w:hAnsi="Cambria Math"/>
          </w:rPr>
          <m:t>&gt;N</m:t>
        </m:r>
      </m:oMath>
      <w:r>
        <w:t xml:space="preserve"> against the true survival </w:t>
      </w:r>
      <m:oMath>
        <m:r>
          <w:rPr>
            <w:rFonts w:ascii="Cambria Math" w:hAnsi="Cambria Math"/>
          </w:rPr>
          <m:t>S</m:t>
        </m:r>
        <m:d>
          <m:dPr>
            <m:ctrlPr>
              <w:rPr>
                <w:rFonts w:ascii="Cambria Math" w:hAnsi="Cambria Math"/>
              </w:rPr>
            </m:ctrlPr>
          </m:dPr>
          <m:e>
            <m:r>
              <w:rPr>
                <w:rFonts w:ascii="Cambria Math" w:hAnsi="Cambria Math"/>
              </w:rPr>
              <m:t>t|</m:t>
            </m:r>
            <m:r>
              <m:rPr>
                <m:sty m:val="bi"/>
              </m:rPr>
              <w:rPr>
                <w:rFonts w:ascii="Cambria Math" w:hAnsi="Cambria Math"/>
              </w:rPr>
              <m:t>x</m:t>
            </m:r>
          </m:e>
        </m:d>
      </m:oMath>
      <w:r>
        <w:t xml:space="preserve"> (logit scale) with no (solid) or uniform (dashed) censoring combined with random censoring of intensity 0 (none), 1 (regular) and 5 (severe), by event rate (Harrell’s C = 0.7), pooled over the fraction of events observed. Dashed horizontal line: 5%.</w:t>
      </w:r>
    </w:p>
    <w:p w14:paraId="56C8F494" w14:textId="77777777" w:rsidR="00AC0E14" w:rsidRDefault="00000000">
      <w:pPr>
        <w:pStyle w:val="CaptionedFigure"/>
      </w:pPr>
      <w:r>
        <w:rPr>
          <w:noProof/>
        </w:rPr>
        <w:lastRenderedPageBreak/>
        <w:drawing>
          <wp:inline distT="0" distB="0" distL="0" distR="0" wp14:anchorId="4DDDD7D6" wp14:editId="52ADFC2A">
            <wp:extent cx="5334000" cy="2400300"/>
            <wp:effectExtent l="0" t="0" r="0" b="0"/>
            <wp:docPr id="53" name="Picture" descr="Figure S7.6. Coverage of the 95% log(-log) confidence interval with no or uniform censoring combined with random censoring (as in Figure S7.5), pooled over time points, by event rate. The grey band is the range expected from Monte Carlo error alone for a single coverage estimate."/>
            <wp:cNvGraphicFramePr/>
            <a:graphic xmlns:a="http://schemas.openxmlformats.org/drawingml/2006/main">
              <a:graphicData uri="http://schemas.openxmlformats.org/drawingml/2006/picture">
                <pic:pic xmlns:pic="http://schemas.openxmlformats.org/drawingml/2006/picture">
                  <pic:nvPicPr>
                    <pic:cNvPr id="54" name="Picture" descr="supplement_files/figure-docx/s7-fig-cens-coverage-1.png"/>
                    <pic:cNvPicPr>
                      <a:picLocks noChangeAspect="1" noChangeArrowheads="1"/>
                    </pic:cNvPicPr>
                  </pic:nvPicPr>
                  <pic:blipFill>
                    <a:blip r:embed="rId15"/>
                    <a:stretch>
                      <a:fillRect/>
                    </a:stretch>
                  </pic:blipFill>
                  <pic:spPr bwMode="auto">
                    <a:xfrm>
                      <a:off x="0" y="0"/>
                      <a:ext cx="5334000" cy="2400300"/>
                    </a:xfrm>
                    <a:prstGeom prst="rect">
                      <a:avLst/>
                    </a:prstGeom>
                    <a:noFill/>
                    <a:ln w="9525">
                      <a:noFill/>
                      <a:headEnd/>
                      <a:tailEnd/>
                    </a:ln>
                  </pic:spPr>
                </pic:pic>
              </a:graphicData>
            </a:graphic>
          </wp:inline>
        </w:drawing>
      </w:r>
    </w:p>
    <w:p w14:paraId="765BA90E" w14:textId="77777777" w:rsidR="00AC0E14" w:rsidRDefault="00000000">
      <w:pPr>
        <w:pStyle w:val="ImageCaption"/>
      </w:pPr>
      <w:r>
        <w:t>Figure S7.6. Coverage of the 95% log(-log) confidence interval with no or uniform censoring combined with random censoring (as in Figure S7.5), pooled over time points, by event rate. The grey band is the range expected from Monte Carlo error alone for a single coverage estimate.</w:t>
      </w:r>
    </w:p>
    <w:p w14:paraId="35716F61" w14:textId="77777777" w:rsidR="00AC0E14" w:rsidRDefault="00000000">
      <w:pPr>
        <w:pStyle w:val="Heading3"/>
      </w:pPr>
      <w:bookmarkStart w:id="18" w:name="conclusion"/>
      <w:bookmarkEnd w:id="17"/>
      <w:r>
        <w:t>Conclusion</w:t>
      </w:r>
    </w:p>
    <w:p w14:paraId="5BCAA84A" w14:textId="77777777" w:rsidR="00AC0E14" w:rsidRDefault="00000000">
      <w:pPr>
        <w:pStyle w:val="FirstParagraph"/>
      </w:pPr>
      <w:r>
        <w:t xml:space="preserve">Across the settings of the simulation study (event rate, Harrell’s C, Weibull shape, censoring pattern, number of predictors and noise predictors), the occurrence of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depended mostly on the true survival probability </w:t>
      </w:r>
      <m:oMath>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of the patient the prediction is made for. With survival probabilities </w:t>
      </w:r>
      <m:oMath>
        <m:r>
          <w:rPr>
            <w:rFonts w:ascii="Cambria Math" w:hAnsi="Cambria Math"/>
          </w:rPr>
          <m:t>0.01</m:t>
        </m:r>
        <m:r>
          <m:rPr>
            <m:sty m:val="p"/>
          </m:rPr>
          <w:rPr>
            <w:rFonts w:ascii="Cambria Math" w:hAnsi="Cambria Math"/>
          </w:rPr>
          <m:t>&lt;</m:t>
        </m:r>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r>
          <m:rPr>
            <m:sty m:val="p"/>
          </m:rPr>
          <w:rPr>
            <w:rFonts w:ascii="Cambria Math" w:hAnsi="Cambria Math"/>
          </w:rPr>
          <m:t>&lt;</m:t>
        </m:r>
        <m:r>
          <w:rPr>
            <w:rFonts w:ascii="Cambria Math" w:hAnsi="Cambria Math"/>
          </w:rPr>
          <m:t>0.9</m:t>
        </m:r>
      </m:oMath>
      <w:r>
        <w:t xml:space="preserve"> it was very rare to have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For uncommon events, this upper bound was higher: up to 0.99 for an event rate of 10%. For an event rate of 1%, the upper bound could even be 0.999 while still finding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w:t>
      </w:r>
    </w:p>
    <w:p w14:paraId="08A706BD" w14:textId="77777777" w:rsidR="00AC0E14" w:rsidRDefault="00000000">
      <w:pPr>
        <w:pStyle w:val="BodyText"/>
      </w:pPr>
      <w:r>
        <w:t xml:space="preserve">At the level of the model, Harrell’s C mainly influences how many predictions have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not the survival probability above which this occurs. Models with a high Harrell’s C of 0.8 or 0.9 produce more extreme predictions, so more patients have a survival probability close to 0 or 1 and hence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Such high values of C are uncommon in clinical prediction models for survival outcomes.</w:t>
      </w:r>
    </w:p>
    <w:p w14:paraId="0ABA2AB3" w14:textId="77777777" w:rsidR="00AC0E14" w:rsidRDefault="00000000">
      <w:pPr>
        <w:pStyle w:val="BodyText"/>
      </w:pPr>
      <w:r>
        <w:t xml:space="preserve">Effective sample size is based on the variance of the prediction. To examine if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is meaningful, the corresponding low variance must be estimated correctly. We did this by checking the coverage of the 95% log(-log) confidence interval. When the Cox model was correctly specified (misspecification was not investigated), we found good coverage of the confidence interval for all predictions, no matter their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Coverage was good even for very high values up to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r>
          <w:rPr>
            <w:rFonts w:ascii="Cambria Math" w:hAnsi="Cambria Math"/>
          </w:rPr>
          <m:t>10N</m:t>
        </m:r>
      </m:oMath>
      <w:r>
        <w:t>. A high effective sample size therefore reflects genuinely low variance and not an estimation artefact.</w:t>
      </w:r>
    </w:p>
    <w:p w14:paraId="2304C4AF" w14:textId="77777777" w:rsidR="00AC0E14" w:rsidRDefault="00000000">
      <w:r>
        <w:br w:type="page"/>
      </w:r>
    </w:p>
    <w:p w14:paraId="08FA3522" w14:textId="77777777" w:rsidR="00AC0E14" w:rsidRDefault="00000000">
      <w:pPr>
        <w:pStyle w:val="Heading1"/>
      </w:pPr>
      <w:bookmarkStart w:id="19" w:name="X7d4ebab3347c5d022884cd892c8435d660124b3"/>
      <w:bookmarkStart w:id="20" w:name="_Toc244093844"/>
      <w:bookmarkEnd w:id="12"/>
      <w:bookmarkEnd w:id="15"/>
      <w:bookmarkEnd w:id="18"/>
      <w:r>
        <w:lastRenderedPageBreak/>
        <w:t xml:space="preserve">Supplement 8: Heuristic exploration of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&gt;</m:t>
        </m:r>
        <m:r>
          <w:rPr>
            <w:rFonts w:ascii="Cambria Math" w:hAnsi="Cambria Math"/>
          </w:rPr>
          <m:t>N</m:t>
        </m:r>
      </m:oMath>
      <w:r>
        <w:t xml:space="preserve"> early in follow-up</w:t>
      </w:r>
      <w:bookmarkEnd w:id="20"/>
    </w:p>
    <w:p w14:paraId="01D51EBD" w14:textId="77777777" w:rsidR="00AC0E14" w:rsidRDefault="00000000">
      <w:pPr>
        <w:pStyle w:val="FirstParagraph"/>
      </w:pPr>
      <w:r>
        <w:t xml:space="preserve">The baseline hazard of the Cox model at event time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with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events is estimated as </w:t>
      </w:r>
      <m:oMath>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r>
                  <m:rPr>
                    <m:sty m:val="p"/>
                  </m:rPr>
                  <w:rPr>
                    <w:rFonts w:ascii="Cambria Math" w:hAnsi="Cambria Math"/>
                  </w:rPr>
                  <m:t>exp</m:t>
                </m:r>
              </m:e>
            </m:nary>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den>
        </m:f>
      </m:oMath>
      <w:r>
        <w:t xml:space="preserve">, where the denominator is the risk-weighted number at risk. This risk-weighted number at risk is the sample size that is implicitly used for the baseline hazard estimate, and it is based on </w:t>
      </w:r>
      <m:oMath>
        <m:acc>
          <m:accPr>
            <m:ctrlPr>
              <w:rPr>
                <w:rFonts w:ascii="Cambria Math" w:hAnsi="Cambria Math"/>
              </w:rPr>
            </m:ctrlPr>
          </m:accPr>
          <m:e>
            <m:r>
              <w:rPr>
                <w:rFonts w:ascii="Cambria Math" w:hAnsi="Cambria Math"/>
              </w:rPr>
              <m:t>β</m:t>
            </m:r>
          </m:e>
        </m:acc>
      </m:oMath>
      <w:r>
        <w:t>, which is estimated from all events, including those in the future.</w:t>
      </w:r>
    </w:p>
    <w:p w14:paraId="6808F3C7" w14:textId="77777777" w:rsidR="00AC0E14" w:rsidRDefault="00000000">
      <w:pPr>
        <w:pStyle w:val="BodyText"/>
      </w:pPr>
      <w:r>
        <w:t xml:space="preserve">Near </w:t>
      </w:r>
      <m:oMath>
        <m:r>
          <w:rPr>
            <w:rFonts w:ascii="Cambria Math" w:hAnsi="Cambria Math"/>
          </w:rPr>
          <m:t>t</m:t>
        </m:r>
        <m:r>
          <m:rPr>
            <m:sty m:val="p"/>
          </m:rPr>
          <w:rPr>
            <w:rFonts w:ascii="Cambria Math" w:hAnsi="Cambria Math"/>
          </w:rPr>
          <m:t>=</m:t>
        </m:r>
        <m:r>
          <w:rPr>
            <w:rFonts w:ascii="Cambria Math" w:hAnsi="Cambria Math"/>
          </w:rPr>
          <m:t>0</m:t>
        </m:r>
      </m:oMath>
      <w:r>
        <w:t xml:space="preserve"> in Figure 5 of the article, a single event in 10,000 patients leads to a risk-weighted number at risk of </w:t>
      </w:r>
      <m:oMath>
        <m:r>
          <w:rPr>
            <w:rFonts w:ascii="Cambria Math" w:hAnsi="Cambria Math"/>
          </w:rPr>
          <m:t>5</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000</m:t>
        </m:r>
      </m:oMath>
      <w:r>
        <w:t xml:space="preserve">. At such an early follow-up time, the hazard of a patient is </w:t>
      </w:r>
      <m:oMath>
        <m:f>
          <m:fPr>
            <m:ctrlPr>
              <w:rPr>
                <w:rFonts w:ascii="Cambria Math" w:hAnsi="Cambria Math"/>
              </w:rPr>
            </m:ctrlPr>
          </m:fPr>
          <m:num>
            <m:r>
              <m:rPr>
                <m:sty m:val="p"/>
              </m:rPr>
              <w:rPr>
                <w:rFonts w:ascii="Cambria Math" w:hAnsi="Cambria Math"/>
              </w:rPr>
              <m:t>exp</m:t>
            </m:r>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m:rPr>
                        <m:nor/>
                      </m:rPr>
                      <m:t>new</m:t>
                    </m:r>
                  </m:sub>
                </m:sSub>
              </m:e>
            </m:d>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sub>
              <m:sup>
                <m:r>
                  <w:rPr>
                    <w:rFonts w:ascii="Cambria Math" w:hAnsi="Cambria Math"/>
                  </w:rPr>
                  <m:t>​</m:t>
                </m:r>
              </m:sup>
              <m:e>
                <m:r>
                  <m:rPr>
                    <m:sty m:val="p"/>
                  </m:rPr>
                  <w:rPr>
                    <w:rFonts w:ascii="Cambria Math" w:hAnsi="Cambria Math"/>
                  </w:rPr>
                  <m:t>exp</m:t>
                </m:r>
              </m:e>
            </m:nary>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den>
        </m:f>
      </m:oMath>
      <w:r>
        <w:t>, the product of their hazard ratio and the baseline hazard. We consider 1 binary covariate, representing men and women. For a woman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m:t>
        </m:r>
      </m:oMath>
      <w:r>
        <w:t xml:space="preserve">), the risk of being this first event is </w:t>
      </w:r>
      <m:oMath>
        <m:r>
          <w:rPr>
            <w:rFonts w:ascii="Cambria Math" w:hAnsi="Cambria Math"/>
          </w:rPr>
          <m:t>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000</m:t>
        </m:r>
      </m:oMath>
      <w:r>
        <w:t xml:space="preserve">, which gives an effective sample size of 15,000. For a man, the risk of being this first event is </w:t>
      </w:r>
      <m:oMath>
        <m:r>
          <w:rPr>
            <w:rFonts w:ascii="Cambria Math" w:hAnsi="Cambria Math"/>
          </w:rPr>
          <m:t>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500</m:t>
        </m:r>
      </m:oMath>
      <w:r>
        <w:t>, which gives an effective sample size of 7,500. This matched the effective sample sizes in the simulation.</w:t>
      </w:r>
    </w:p>
    <w:p w14:paraId="3A7CFF33" w14:textId="77777777" w:rsidR="00AC0E14" w:rsidRDefault="00000000">
      <w:pPr>
        <w:pStyle w:val="BodyText"/>
      </w:pPr>
      <w:r>
        <w:t xml:space="preserve">In general, at the first event time the cumulative baseline hazard is estimated by </w:t>
      </w:r>
      <m:oMath>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1</m:t>
                </m:r>
              </m:sub>
            </m:sSub>
          </m:e>
        </m:d>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m:rPr>
                    <m:sty m:val="p"/>
                  </m:rPr>
                  <w:rPr>
                    <w:rFonts w:ascii="Cambria Math" w:hAnsi="Cambria Math"/>
                  </w:rPr>
                  <m:t>HR</m:t>
                </m:r>
              </m:e>
              <m:sub>
                <m:r>
                  <w:rPr>
                    <w:rFonts w:ascii="Cambria Math" w:hAnsi="Cambria Math"/>
                  </w:rPr>
                  <m:t>j</m:t>
                </m:r>
              </m:sub>
            </m:sSub>
          </m:e>
        </m:nary>
      </m:oMath>
      <w:r>
        <w:t xml:space="preserve">, with variance </w:t>
      </w:r>
      <m:oMath>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m:rPr>
                            <m:sty m:val="p"/>
                          </m:rPr>
                          <w:rPr>
                            <w:rFonts w:ascii="Cambria Math" w:hAnsi="Cambria Math"/>
                          </w:rPr>
                          <m:t>HR</m:t>
                        </m:r>
                      </m:e>
                      <m:sub>
                        <m:r>
                          <w:rPr>
                            <w:rFonts w:ascii="Cambria Math" w:hAnsi="Cambria Math"/>
                          </w:rPr>
                          <m:t>j</m:t>
                        </m:r>
                      </m:sub>
                    </m:sSub>
                  </m:e>
                </m:nary>
              </m:e>
            </m:d>
          </m:e>
          <m:sup>
            <m:r>
              <w:rPr>
                <w:rFonts w:ascii="Cambria Math" w:hAnsi="Cambria Math"/>
              </w:rPr>
              <m:t>2</m:t>
            </m:r>
          </m:sup>
        </m:sSup>
      </m:oMath>
      <w:r>
        <w:t xml:space="preserve">. For a patient with hazard ratio </w:t>
      </w:r>
      <m:oMath>
        <m:sSub>
          <m:sSubPr>
            <m:ctrlPr>
              <w:rPr>
                <w:rFonts w:ascii="Cambria Math" w:hAnsi="Cambria Math"/>
              </w:rPr>
            </m:ctrlPr>
          </m:sSubPr>
          <m:e>
            <m:r>
              <m:rPr>
                <m:sty m:val="p"/>
              </m:rPr>
              <w:rPr>
                <w:rFonts w:ascii="Cambria Math" w:hAnsi="Cambria Math"/>
              </w:rPr>
              <m:t>HR</m:t>
            </m:r>
          </m:e>
          <m:sub>
            <m:r>
              <w:rPr>
                <w:rFonts w:ascii="Cambria Math" w:hAnsi="Cambria Math"/>
              </w:rPr>
              <m:t>i</m:t>
            </m:r>
          </m:sub>
        </m:sSub>
      </m:oMath>
      <w:r>
        <w:t xml:space="preserve"> we have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HR</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m:rPr>
                    <m:sty m:val="p"/>
                  </m:rPr>
                  <w:rPr>
                    <w:rFonts w:ascii="Cambria Math" w:hAnsi="Cambria Math"/>
                  </w:rPr>
                  <m:t>HR</m:t>
                </m:r>
              </m:e>
              <m:sub>
                <m:r>
                  <w:rPr>
                    <w:rFonts w:ascii="Cambria Math" w:hAnsi="Cambria Math"/>
                  </w:rPr>
                  <m:t>j</m:t>
                </m:r>
              </m:sub>
            </m:sSub>
          </m:e>
        </m:nary>
      </m:oMath>
      <w:r>
        <w:t xml:space="preserve"> and </w:t>
      </w:r>
      <m:oMath>
        <m:r>
          <m:rPr>
            <m:sty m:val="p"/>
          </m:rPr>
          <w:rPr>
            <w:rFonts w:ascii="Cambria Math" w:hAnsi="Cambria Math"/>
          </w: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HR</m:t>
            </m:r>
          </m:e>
          <m:sub>
            <m:r>
              <w:rPr>
                <w:rFonts w:ascii="Cambria Math" w:hAnsi="Cambria Math"/>
              </w:rPr>
              <m:t>i</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m:rPr>
                            <m:sty m:val="p"/>
                          </m:rPr>
                          <w:rPr>
                            <w:rFonts w:ascii="Cambria Math" w:hAnsi="Cambria Math"/>
                          </w:rPr>
                          <m:t>HR</m:t>
                        </m:r>
                      </m:e>
                      <m:sub>
                        <m:r>
                          <w:rPr>
                            <w:rFonts w:ascii="Cambria Math" w:hAnsi="Cambria Math"/>
                          </w:rPr>
                          <m:t>j</m:t>
                        </m:r>
                      </m:sub>
                    </m:sSub>
                  </m:e>
                </m:nary>
              </m:e>
            </m:d>
          </m:e>
          <m:sup>
            <m:r>
              <w:rPr>
                <w:rFonts w:ascii="Cambria Math" w:hAnsi="Cambria Math"/>
              </w:rPr>
              <m:t>2</m:t>
            </m:r>
          </m:sup>
        </m:sSup>
      </m:oMath>
      <w:r>
        <w:t>, so that</w:t>
      </w:r>
    </w:p>
    <w:p w14:paraId="68571334" w14:textId="77777777" w:rsidR="00AC0E14"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num>
            <m:den>
              <m:r>
                <m:rPr>
                  <m:sty m:val="p"/>
                </m:rPr>
                <w:rPr>
                  <w:rFonts w:ascii="Cambria Math" w:hAnsi="Cambria Math"/>
                </w:rPr>
                <m:t>Var</m:t>
              </m:r>
              <m:d>
                <m:dPr>
                  <m:ctrlPr>
                    <w:rPr>
                      <w:rFonts w:ascii="Cambria Math" w:hAnsi="Cambria Math"/>
                    </w:rPr>
                  </m:ctrlPr>
                </m:dPr>
                <m:e>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den>
          </m:f>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m:rPr>
                          <m:sty m:val="p"/>
                        </m:rPr>
                        <w:rPr>
                          <w:rFonts w:ascii="Cambria Math" w:hAnsi="Cambria Math"/>
                        </w:rPr>
                        <m:t>HR</m:t>
                      </m:r>
                    </m:e>
                    <m:sub>
                      <m:r>
                        <w:rPr>
                          <w:rFonts w:ascii="Cambria Math" w:hAnsi="Cambria Math"/>
                        </w:rPr>
                        <m:t>j</m:t>
                      </m:r>
                    </m:sub>
                  </m:sSub>
                </m:e>
              </m:nary>
            </m:num>
            <m:den>
              <m:sSub>
                <m:sSubPr>
                  <m:ctrlPr>
                    <w:rPr>
                      <w:rFonts w:ascii="Cambria Math" w:hAnsi="Cambria Math"/>
                    </w:rPr>
                  </m:ctrlPr>
                </m:sSubPr>
                <m:e>
                  <m:r>
                    <m:rPr>
                      <m:sty m:val="p"/>
                    </m:rPr>
                    <w:rPr>
                      <w:rFonts w:ascii="Cambria Math" w:hAnsi="Cambria Math"/>
                    </w:rPr>
                    <m:t>HR</m:t>
                  </m:r>
                </m:e>
                <m:sub>
                  <m:r>
                    <w:rPr>
                      <w:rFonts w:ascii="Cambria Math" w:hAnsi="Cambria Math"/>
                    </w:rPr>
                    <m:t>i</m:t>
                  </m:r>
                </m:sub>
              </m:sSub>
            </m:den>
          </m:f>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bar>
                <m:barPr>
                  <m:pos m:val="top"/>
                  <m:ctrlPr>
                    <w:rPr>
                      <w:rFonts w:ascii="Cambria Math" w:hAnsi="Cambria Math"/>
                    </w:rPr>
                  </m:ctrlPr>
                </m:barPr>
                <m:e>
                  <m:r>
                    <m:rPr>
                      <m:sty m:val="p"/>
                    </m:rPr>
                    <w:rPr>
                      <w:rFonts w:ascii="Cambria Math" w:hAnsi="Cambria Math"/>
                    </w:rPr>
                    <m:t>HR</m:t>
                  </m:r>
                </m:e>
              </m:bar>
            </m:num>
            <m:den>
              <m:sSub>
                <m:sSubPr>
                  <m:ctrlPr>
                    <w:rPr>
                      <w:rFonts w:ascii="Cambria Math" w:hAnsi="Cambria Math"/>
                    </w:rPr>
                  </m:ctrlPr>
                </m:sSubPr>
                <m:e>
                  <m:r>
                    <m:rPr>
                      <m:sty m:val="p"/>
                    </m:rPr>
                    <w:rPr>
                      <w:rFonts w:ascii="Cambria Math" w:hAnsi="Cambria Math"/>
                    </w:rPr>
                    <m:t>HR</m:t>
                  </m:r>
                </m:e>
                <m:sub>
                  <m:r>
                    <w:rPr>
                      <w:rFonts w:ascii="Cambria Math" w:hAnsi="Cambria Math"/>
                    </w:rPr>
                    <m:t>i</m:t>
                  </m:r>
                </m:sub>
              </m:sSub>
            </m:den>
          </m:f>
          <m:r>
            <m:rPr>
              <m:sty m:val="p"/>
            </m:rPr>
            <w:rPr>
              <w:rFonts w:ascii="Cambria Math" w:hAnsi="Cambria Math"/>
            </w:rPr>
            <m:t>,</m:t>
          </m:r>
        </m:oMath>
      </m:oMathPara>
    </w:p>
    <w:p w14:paraId="6F889D43" w14:textId="77777777" w:rsidR="00AC0E14" w:rsidRDefault="00000000">
      <w:pPr>
        <w:pStyle w:val="FirstParagraph"/>
      </w:pPr>
      <w:r>
        <w:t xml:space="preserve">with </w:t>
      </w:r>
      <m:oMath>
        <m:bar>
          <m:barPr>
            <m:pos m:val="top"/>
            <m:ctrlPr>
              <w:rPr>
                <w:rFonts w:ascii="Cambria Math" w:hAnsi="Cambria Math"/>
              </w:rPr>
            </m:ctrlPr>
          </m:barPr>
          <m:e>
            <m:r>
              <m:rPr>
                <m:sty m:val="p"/>
              </m:rPr>
              <w:rPr>
                <w:rFonts w:ascii="Cambria Math" w:hAnsi="Cambria Math"/>
              </w:rPr>
              <m:t>HR</m:t>
            </m:r>
          </m:e>
        </m:bar>
      </m:oMath>
      <w:r>
        <w:t xml:space="preserve"> the mean hazard ratio in the development data. We cannot estimate a variance before any events, so we investigated this heuristic at the first event time. The Cox model estimated the hazard ratio of 2 imperfectly, as 1.982. With this hazard ratio, the heuristic gave an effective sample size of 14,910 for women and 7,523 for men after one event. We found 14,907 for women and 7,523 for men. The small discrepancy for women was caused by the variance from the coefficient estimation, which was very small at this early time point. When we only considered the variance from the baseline hazard estimation, we found an effective sample size of 14,910 for women, which matched the heuristic exactly. For men, the effect of the coefficient estimation was too small to make a difference at this early time point.</w:t>
      </w:r>
    </w:p>
    <w:p w14:paraId="6705F857" w14:textId="77777777" w:rsidR="00AC0E14" w:rsidRDefault="00000000">
      <w:pPr>
        <w:pStyle w:val="BodyText"/>
      </w:pPr>
      <w:r>
        <w:t xml:space="preserve">The heuristic also explains why the effective sample size of a patient with average covariate values is above </w:t>
      </w:r>
      <m:oMath>
        <m:r>
          <w:rPr>
            <w:rFonts w:ascii="Cambria Math" w:hAnsi="Cambria Math"/>
          </w:rPr>
          <m:t>N</m:t>
        </m:r>
      </m:oMath>
      <w:r>
        <w:t xml:space="preserve">. After centering and rescaling the variables, the mean linear predictor in the data is 0, but the mean hazard ratio is not 1, since </w:t>
      </w:r>
      <m:oMath>
        <m:r>
          <m:rPr>
            <m:scr m:val="double-struck"/>
            <m:sty m:val="p"/>
          </m:rPr>
          <w:rPr>
            <w:rFonts w:ascii="Cambria Math" w:hAnsi="Cambria Math"/>
          </w:rPr>
          <m:t>E</m:t>
        </m:r>
        <m:d>
          <m:dPr>
            <m:begChr m:val="["/>
            <m:endChr m:val="]"/>
            <m:ctrlPr>
              <w:rPr>
                <w:rFonts w:ascii="Cambria Math" w:hAnsi="Cambria Math"/>
              </w:rPr>
            </m:ctrlPr>
          </m:dPr>
          <m:e>
            <m:r>
              <m:rPr>
                <m:nor/>
              </m:rPr>
              <m:t>exp</m:t>
            </m:r>
            <m:d>
              <m:dPr>
                <m:ctrlPr>
                  <w:rPr>
                    <w:rFonts w:ascii="Cambria Math" w:hAnsi="Cambria Math"/>
                  </w:rPr>
                </m:ctrlPr>
              </m:dPr>
              <m:e>
                <m:r>
                  <w:rPr>
                    <w:rFonts w:ascii="Cambria Math" w:hAnsi="Cambria Math"/>
                  </w:rPr>
                  <m:t>Xβ</m:t>
                </m:r>
              </m:e>
            </m:d>
          </m:e>
        </m:d>
        <m:r>
          <m:rPr>
            <m:sty m:val="p"/>
          </m:rPr>
          <w:rPr>
            <w:rFonts w:ascii="Cambria Math" w:hAnsi="Cambria Math"/>
          </w:rPr>
          <m:t>≠</m:t>
        </m:r>
        <m:r>
          <m:rPr>
            <m:nor/>
          </m:rPr>
          <m:t>exp</m:t>
        </m:r>
        <m:d>
          <m:dPr>
            <m:ctrlPr>
              <w:rPr>
                <w:rFonts w:ascii="Cambria Math" w:hAnsi="Cambria Math"/>
              </w:rPr>
            </m:ctrlPr>
          </m:dPr>
          <m:e>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Xβ</m:t>
                </m:r>
              </m:e>
            </m:d>
          </m:e>
        </m:d>
      </m:oMath>
      <w:r>
        <w:t xml:space="preserve">. For </w:t>
      </w:r>
      <m:oMath>
        <m:r>
          <w:rPr>
            <w:rFonts w:ascii="Cambria Math" w:hAnsi="Cambria Math"/>
          </w:rPr>
          <m:t>X</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and a hazard ratio of 2, </w:t>
      </w:r>
      <m:oMath>
        <m:r>
          <m:rPr>
            <m:scr m:val="double-struck"/>
            <m:sty m:val="p"/>
          </m:rPr>
          <w:rPr>
            <w:rFonts w:ascii="Cambria Math" w:hAnsi="Cambria Math"/>
          </w:rPr>
          <m:t>E</m:t>
        </m:r>
        <m:d>
          <m:dPr>
            <m:begChr m:val="["/>
            <m:endChr m:val="]"/>
            <m:ctrlPr>
              <w:rPr>
                <w:rFonts w:ascii="Cambria Math" w:hAnsi="Cambria Math"/>
              </w:rPr>
            </m:ctrlPr>
          </m:dPr>
          <m:e>
            <m:r>
              <m:rPr>
                <m:nor/>
              </m:rPr>
              <m:t>exp</m:t>
            </m:r>
            <m:d>
              <m:dPr>
                <m:ctrlPr>
                  <w:rPr>
                    <w:rFonts w:ascii="Cambria Math" w:hAnsi="Cambria Math"/>
                  </w:rPr>
                </m:ctrlPr>
              </m:dPr>
              <m:e>
                <m:r>
                  <w:rPr>
                    <w:rFonts w:ascii="Cambria Math" w:hAnsi="Cambria Math"/>
                  </w:rPr>
                  <m:t>X </m:t>
                </m:r>
                <m:r>
                  <m:rPr>
                    <m:nor/>
                  </m:rPr>
                  <m:t>ln</m:t>
                </m:r>
                <m:r>
                  <w:rPr>
                    <w:rFonts w:ascii="Cambria Math" w:hAnsi="Cambria Math"/>
                  </w:rPr>
                  <m:t>2</m:t>
                </m:r>
              </m:e>
            </m:d>
          </m:e>
        </m:d>
        <m:r>
          <m:rPr>
            <m:sty m:val="p"/>
          </m:rPr>
          <w:rPr>
            <w:rFonts w:ascii="Cambria Math" w:hAnsi="Cambria Math"/>
          </w:rPr>
          <m:t>=</m:t>
        </m:r>
        <m:r>
          <m:rPr>
            <m:nor/>
          </m:rPr>
          <m:t>exp</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nor/>
                          </m:rPr>
                          <m:t>ln</m:t>
                        </m:r>
                        <m:r>
                          <w:rPr>
                            <w:rFonts w:ascii="Cambria Math" w:hAnsi="Cambria Math"/>
                          </w:rPr>
                          <m:t>2</m:t>
                        </m:r>
                      </m:e>
                    </m:d>
                  </m:e>
                  <m:sup>
                    <m:r>
                      <w:rPr>
                        <w:rFonts w:ascii="Cambria Math" w:hAnsi="Cambria Math"/>
                      </w:rPr>
                      <m:t>2</m:t>
                    </m:r>
                  </m:sup>
                </m:sSup>
              </m:num>
              <m:den>
                <m:r>
                  <w:rPr>
                    <w:rFonts w:ascii="Cambria Math" w:hAnsi="Cambria Math"/>
                  </w:rPr>
                  <m:t>2</m:t>
                </m:r>
              </m:den>
            </m:f>
          </m:e>
        </m:d>
        <m:r>
          <m:rPr>
            <m:sty m:val="p"/>
          </m:rPr>
          <w:rPr>
            <w:rFonts w:ascii="Cambria Math" w:hAnsi="Cambria Math"/>
          </w:rPr>
          <m:t>≈</m:t>
        </m:r>
        <m:r>
          <w:rPr>
            <w:rFonts w:ascii="Cambria Math" w:hAnsi="Cambria Math"/>
          </w:rPr>
          <m:t>1.27</m:t>
        </m:r>
      </m:oMath>
      <w:r>
        <w:t xml:space="preserve">. Changing the reference category had no impact. If men were the reference category and women the alternative with a hazard ratio of </w:t>
      </w:r>
      <m:oMath>
        <m:r>
          <w:rPr>
            <w:rFonts w:ascii="Cambria Math" w:hAnsi="Cambria Math"/>
          </w:rPr>
          <m:t>0.5</m:t>
        </m:r>
      </m:oMath>
      <w:r>
        <w:t xml:space="preserve">, the risk-weighted number at risk would be </w:t>
      </w:r>
      <w:r>
        <w:lastRenderedPageBreak/>
        <w:t xml:space="preserve">7,500, the risk for men would be </w:t>
      </w:r>
      <m:oMath>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500</m:t>
        </m:r>
      </m:oMath>
      <w:r>
        <w:t xml:space="preserve"> and the risk for women </w:t>
      </w:r>
      <m:oMath>
        <m:f>
          <m:fPr>
            <m:ctrlPr>
              <w:rPr>
                <w:rFonts w:ascii="Cambria Math" w:hAnsi="Cambria Math"/>
              </w:rPr>
            </m:ctrlPr>
          </m:fPr>
          <m:num>
            <m:r>
              <w:rPr>
                <w:rFonts w:ascii="Cambria Math" w:hAnsi="Cambria Math"/>
              </w:rPr>
              <m:t>0.5</m:t>
            </m:r>
          </m:num>
          <m:den>
            <m:r>
              <w:rPr>
                <w:rFonts w:ascii="Cambria Math" w:hAnsi="Cambria Math"/>
              </w:rPr>
              <m:t>7500</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15000</m:t>
            </m:r>
          </m:den>
        </m:f>
      </m:oMath>
      <w:r>
        <w:t>, which gives the same heuristic effective sample sizes as before. We illustrated the mean hazard ratio for a continuous variable, for a binary variable coded as -1 and 1, and for the colon data after rescaling all variables.</w:t>
      </w:r>
    </w:p>
    <w:p w14:paraId="6B151C1C" w14:textId="77777777" w:rsidR="00AC0E14" w:rsidRDefault="00000000">
      <w:pPr>
        <w:pStyle w:val="BodyText"/>
      </w:pPr>
      <w:r>
        <w:t xml:space="preserve">In a simulated sample with </w:t>
      </w:r>
      <m:oMath>
        <m:r>
          <w:rPr>
            <w:rFonts w:ascii="Cambria Math" w:hAnsi="Cambria Math"/>
          </w:rPr>
          <m:t>X</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and a hazard ratio of 2, the mean linear predictor was -0.000 and the mean hazard ratio was 1.27. For the binary variable coded as -1 and 1, the mean linear predictor was 0.000 and the mean hazard ratio 1.06. In the colon data, the mean linear predictor of the Cox model with age, nodes, adherence and treatment was 0.000 (it was centered by the software), while the mean hazard ratio was 1.10. For a patient with the mean value of all covariates, this implied an effective sample size above the number of patients in the model (</w:t>
      </w:r>
      <m:oMath>
        <m:r>
          <w:rPr>
            <w:rFonts w:ascii="Cambria Math" w:hAnsi="Cambria Math"/>
          </w:rPr>
          <m:t>N</m:t>
        </m:r>
        <m:r>
          <m:rPr>
            <m:sty m:val="p"/>
          </m:rPr>
          <w:rPr>
            <w:rFonts w:ascii="Cambria Math" w:hAnsi="Cambria Math"/>
          </w:rPr>
          <m:t>=</m:t>
        </m:r>
        <m:r>
          <w:rPr>
            <w:rFonts w:ascii="Cambria Math" w:hAnsi="Cambria Math"/>
          </w:rPr>
          <m:t>911</m:t>
        </m:r>
      </m:oMath>
      <w:r>
        <w:t xml:space="preserve">). Indeed, the effective sample size for a patient with a value of 0 for all rescaled covariates was 1008 at the first event time, close to the expected </w:t>
      </w:r>
      <m:oMath>
        <m:r>
          <w:rPr>
            <w:rFonts w:ascii="Cambria Math" w:hAnsi="Cambria Math"/>
          </w:rPr>
          <m:t>911</m:t>
        </m:r>
        <m:r>
          <m:rPr>
            <m:sty m:val="p"/>
          </m:rPr>
          <w:rPr>
            <w:rFonts w:ascii="Cambria Math" w:hAnsi="Cambria Math"/>
          </w:rPr>
          <m:t>⋅</m:t>
        </m:r>
        <m:r>
          <w:rPr>
            <w:rFonts w:ascii="Cambria Math" w:hAnsi="Cambria Math"/>
          </w:rPr>
          <m:t>1.1046</m:t>
        </m:r>
        <m:r>
          <m:rPr>
            <m:sty m:val="p"/>
          </m:rPr>
          <w:rPr>
            <w:rFonts w:ascii="Cambria Math" w:hAnsi="Cambria Math"/>
          </w:rPr>
          <m:t>=</m:t>
        </m:r>
        <m:r>
          <w:rPr>
            <w:rFonts w:ascii="Cambria Math" w:hAnsi="Cambria Math"/>
          </w:rPr>
          <m:t>1006</m:t>
        </m:r>
      </m:oMath>
      <w:r>
        <w:t>.</w:t>
      </w:r>
    </w:p>
    <w:p w14:paraId="23E45DB4" w14:textId="77777777" w:rsidR="00AC0E14" w:rsidRDefault="00000000">
      <w:pPr>
        <w:pStyle w:val="BodyText"/>
      </w:pPr>
      <w:r>
        <w:t xml:space="preserve">The asymmetry in the effective sample size of equally exceptional patients (Section 4.2 of the article) can be explained in the same way. We illustrate it with the binary predictor of the first simulation, since the calculations are simple. At the first event time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the gradient </w:t>
      </w:r>
      <m:oMath>
        <m:r>
          <m:rPr>
            <m:sty m:val="p"/>
          </m:rPr>
          <w:rPr>
            <w:rFonts w:ascii="Cambria Math" w:hAnsi="Cambria Math"/>
          </w:rPr>
          <m:t>exp</m:t>
        </m:r>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m:rPr>
                    <m:nor/>
                  </m:rPr>
                  <m:t>new</m:t>
                </m:r>
              </m:sub>
            </m:sSub>
          </m:e>
        </m:d>
        <m:r>
          <w:rPr>
            <w:rFonts w:ascii="Cambria Math" w:hAnsi="Cambria Math"/>
          </w:rPr>
          <m:t>w</m:t>
        </m:r>
      </m:oMath>
      <w:r>
        <w:t xml:space="preserve"> of the survival function with respect to the coefficient (Supplement 2) is the same in size for women and men. The risk-weighted mean of the predictor is </w:t>
      </w:r>
      <m:oMath>
        <m:bar>
          <m:barPr>
            <m:pos m:val="top"/>
            <m:ctrlPr>
              <w:rPr>
                <w:rFonts w:ascii="Cambria Math" w:hAnsi="Cambria Math"/>
              </w:rPr>
            </m:ctrlPr>
          </m:barPr>
          <m:e>
            <m:r>
              <w:rPr>
                <w:rFonts w:ascii="Cambria Math" w:hAnsi="Cambria Math"/>
              </w:rPr>
              <m:t>x</m:t>
            </m:r>
          </m:e>
        </m:ba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 xml:space="preserve">, so </w:t>
      </w:r>
      <m:oMath>
        <m:sSub>
          <m:sSubPr>
            <m:ctrlPr>
              <w:rPr>
                <w:rFonts w:ascii="Cambria Math" w:hAnsi="Cambria Math"/>
              </w:rPr>
            </m:ctrlPr>
          </m:sSubPr>
          <m:e>
            <m:r>
              <w:rPr>
                <w:rFonts w:ascii="Cambria Math" w:hAnsi="Cambria Math"/>
              </w:rPr>
              <m:t>w</m:t>
            </m:r>
          </m:e>
          <m:sub>
            <m:r>
              <m:rPr>
                <m:nor/>
              </m:rPr>
              <m:t>women</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r>
              <m:rPr>
                <m:sty m:val="p"/>
              </m:rPr>
              <w:rPr>
                <w:rFonts w:ascii="Cambria Math" w:hAnsi="Cambria Math"/>
              </w:rPr>
              <m:t>,</m:t>
            </m:r>
            <m:r>
              <w:rPr>
                <w:rFonts w:ascii="Cambria Math" w:hAnsi="Cambria Math"/>
              </w:rPr>
              <m:t>000</m:t>
            </m:r>
          </m:den>
        </m:f>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r>
              <m:rPr>
                <m:sty m:val="p"/>
              </m:rPr>
              <w:rPr>
                <w:rFonts w:ascii="Cambria Math" w:hAnsi="Cambria Math"/>
              </w:rPr>
              <m:t>-</m:t>
            </m:r>
            <m:r>
              <w:rPr>
                <w:rFonts w:ascii="Cambria Math" w:hAnsi="Cambria Math"/>
              </w:rPr>
              <m:t>0</m:t>
            </m:r>
          </m:e>
        </m:d>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45</m:t>
            </m:r>
            <m:r>
              <m:rPr>
                <m:sty m:val="p"/>
              </m:rPr>
              <w:rPr>
                <w:rFonts w:ascii="Cambria Math" w:hAnsi="Cambria Math"/>
              </w:rPr>
              <m:t>,</m:t>
            </m:r>
            <m:r>
              <w:rPr>
                <w:rFonts w:ascii="Cambria Math" w:hAnsi="Cambria Math"/>
              </w:rPr>
              <m:t>000</m:t>
            </m:r>
          </m:den>
        </m:f>
      </m:oMath>
      <w:r>
        <w:t xml:space="preserve"> and </w:t>
      </w:r>
      <m:oMath>
        <m:sSub>
          <m:sSubPr>
            <m:ctrlPr>
              <w:rPr>
                <w:rFonts w:ascii="Cambria Math" w:hAnsi="Cambria Math"/>
              </w:rPr>
            </m:ctrlPr>
          </m:sSubPr>
          <m:e>
            <m:r>
              <w:rPr>
                <w:rFonts w:ascii="Cambria Math" w:hAnsi="Cambria Math"/>
              </w:rPr>
              <m:t>w</m:t>
            </m:r>
          </m:e>
          <m:sub>
            <m:r>
              <m:rPr>
                <m:nor/>
              </m:rPr>
              <m:t>men</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r>
              <m:rPr>
                <m:sty m:val="p"/>
              </m:rPr>
              <w:rPr>
                <w:rFonts w:ascii="Cambria Math" w:hAnsi="Cambria Math"/>
              </w:rPr>
              <m:t>,</m:t>
            </m:r>
            <m:r>
              <w:rPr>
                <w:rFonts w:ascii="Cambria Math" w:hAnsi="Cambria Math"/>
              </w:rPr>
              <m:t>000</m:t>
            </m:r>
          </m:den>
        </m:f>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45</m:t>
            </m:r>
            <m:r>
              <m:rPr>
                <m:sty m:val="p"/>
              </m:rPr>
              <w:rPr>
                <w:rFonts w:ascii="Cambria Math" w:hAnsi="Cambria Math"/>
              </w:rPr>
              <m:t>,</m:t>
            </m:r>
            <m:r>
              <w:rPr>
                <w:rFonts w:ascii="Cambria Math" w:hAnsi="Cambria Math"/>
              </w:rPr>
              <m:t>000</m:t>
            </m:r>
          </m:den>
        </m:f>
      </m:oMath>
      <w:r>
        <w:t xml:space="preserve">, and with the hazard ratio of 2 for men the gradients are </w:t>
      </w:r>
      <m:oMath>
        <m:f>
          <m:fPr>
            <m:ctrlPr>
              <w:rPr>
                <w:rFonts w:ascii="Cambria Math" w:hAnsi="Cambria Math"/>
              </w:rPr>
            </m:ctrlPr>
          </m:fPr>
          <m:num>
            <m:r>
              <w:rPr>
                <w:rFonts w:ascii="Cambria Math" w:hAnsi="Cambria Math"/>
              </w:rPr>
              <m:t>2</m:t>
            </m:r>
          </m:num>
          <m:den>
            <m:r>
              <w:rPr>
                <w:rFonts w:ascii="Cambria Math" w:hAnsi="Cambria Math"/>
              </w:rPr>
              <m:t>45</m:t>
            </m:r>
            <m:r>
              <m:rPr>
                <m:sty m:val="p"/>
              </m:rPr>
              <w:rPr>
                <w:rFonts w:ascii="Cambria Math" w:hAnsi="Cambria Math"/>
              </w:rPr>
              <m:t>,</m:t>
            </m:r>
            <m:r>
              <w:rPr>
                <w:rFonts w:ascii="Cambria Math" w:hAnsi="Cambria Math"/>
              </w:rPr>
              <m:t>000</m:t>
            </m:r>
          </m:den>
        </m:f>
      </m:oMath>
      <w:r>
        <w:t xml:space="preserve"> for women and </w:t>
      </w:r>
      <m:oMath>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45</m:t>
            </m:r>
            <m:r>
              <m:rPr>
                <m:sty m:val="p"/>
              </m:rPr>
              <w:rPr>
                <w:rFonts w:ascii="Cambria Math" w:hAnsi="Cambria Math"/>
              </w:rPr>
              <m:t>,</m:t>
            </m:r>
            <m:r>
              <w:rPr>
                <w:rFonts w:ascii="Cambria Math" w:hAnsi="Cambria Math"/>
              </w:rPr>
              <m:t>000</m:t>
            </m:r>
          </m:den>
        </m:f>
      </m:oMath>
      <w:r>
        <w:t xml:space="preserve"> for men. The gradient enters the variance squared, so the uncertainty from the coefficient estimation is the same for both, as both are equally far from the population mean in the risk set. This changes when the survival of the two groups starts to differ. At the time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10</m:t>
        </m:r>
        <m:r>
          <m:rPr>
            <m:sty m:val="p"/>
          </m:rPr>
          <w:rPr>
            <w:rFonts w:ascii="Cambria Math" w:hAnsi="Cambria Math"/>
          </w:rPr>
          <m:t>ln</m:t>
        </m:r>
        <m:d>
          <m:dPr>
            <m:ctrlPr>
              <w:rPr>
                <w:rFonts w:ascii="Cambria Math" w:hAnsi="Cambria Math"/>
              </w:rPr>
            </m:ctrlPr>
          </m:dPr>
          <m:e>
            <m:r>
              <w:rPr>
                <w:rFonts w:ascii="Cambria Math" w:hAnsi="Cambria Math"/>
              </w:rPr>
              <m:t>2</m:t>
            </m:r>
          </m:e>
        </m:d>
        <m:r>
          <m:rPr>
            <m:sty m:val="p"/>
          </m:rPr>
          <w:rPr>
            <w:rFonts w:ascii="Cambria Math" w:hAnsi="Cambria Math"/>
          </w:rPr>
          <m:t>/</m:t>
        </m:r>
        <m:d>
          <m:dPr>
            <m:ctrlPr>
              <w:rPr>
                <w:rFonts w:ascii="Cambria Math" w:hAnsi="Cambria Math"/>
              </w:rPr>
            </m:ctrlPr>
          </m:dPr>
          <m:e>
            <m:r>
              <m:rPr>
                <m:sty m:val="p"/>
              </m:rPr>
              <w:rPr>
                <w:rFonts w:ascii="Cambria Math" w:hAnsi="Cambria Math"/>
              </w:rPr>
              <m:t>HR-</m:t>
            </m:r>
            <m:r>
              <w:rPr>
                <w:rFonts w:ascii="Cambria Math" w:hAnsi="Cambria Math"/>
              </w:rPr>
              <m:t>1</m:t>
            </m:r>
          </m:e>
        </m:d>
        <m:r>
          <m:rPr>
            <m:sty m:val="p"/>
          </m:rPr>
          <w:rPr>
            <w:rFonts w:ascii="Cambria Math" w:hAnsi="Cambria Math"/>
          </w:rPr>
          <m:t>=</m:t>
        </m:r>
      </m:oMath>
      <w:r>
        <w:t xml:space="preserve"> 7.06 there are twice as many women as men left in the risk set. The risk set then consists of, for example, 2,500 women and 1,250 men, and one event increases the gradient by </w:t>
      </w:r>
      <m:oMath>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000</m:t>
            </m:r>
          </m:den>
        </m:f>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500</m:t>
                </m:r>
              </m:num>
              <m:den>
                <m:r>
                  <w:rPr>
                    <w:rFonts w:ascii="Cambria Math" w:hAnsi="Cambria Math"/>
                  </w:rPr>
                  <m:t>5</m:t>
                </m:r>
                <m:r>
                  <m:rPr>
                    <m:sty m:val="p"/>
                  </m:rPr>
                  <w:rPr>
                    <w:rFonts w:ascii="Cambria Math" w:hAnsi="Cambria Math"/>
                  </w:rPr>
                  <m:t>,</m:t>
                </m:r>
                <m:r>
                  <w:rPr>
                    <w:rFonts w:ascii="Cambria Math" w:hAnsi="Cambria Math"/>
                  </w:rPr>
                  <m:t>000</m:t>
                </m:r>
              </m:den>
            </m:f>
            <m:r>
              <m:rPr>
                <m:sty m:val="p"/>
              </m:rPr>
              <w:rPr>
                <w:rFonts w:ascii="Cambria Math" w:hAnsi="Cambria Math"/>
              </w:rPr>
              <m:t>-</m:t>
            </m:r>
            <m:r>
              <w:rPr>
                <w:rFonts w:ascii="Cambria Math" w:hAnsi="Cambria Math"/>
              </w:rPr>
              <m:t>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m:t>
            </m:r>
            <m:r>
              <m:rPr>
                <m:sty m:val="p"/>
              </m:rPr>
              <w:rPr>
                <w:rFonts w:ascii="Cambria Math" w:hAnsi="Cambria Math"/>
              </w:rPr>
              <m:t>,</m:t>
            </m:r>
            <m:r>
              <w:rPr>
                <w:rFonts w:ascii="Cambria Math" w:hAnsi="Cambria Math"/>
              </w:rPr>
              <m:t>000</m:t>
            </m:r>
          </m:den>
        </m:f>
      </m:oMath>
      <w:r>
        <w:t xml:space="preserve"> for women and by </w:t>
      </w:r>
      <m:oMath>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000</m:t>
            </m:r>
          </m:den>
        </m:f>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500</m:t>
                </m:r>
              </m:num>
              <m:den>
                <m:r>
                  <w:rPr>
                    <w:rFonts w:ascii="Cambria Math" w:hAnsi="Cambria Math"/>
                  </w:rPr>
                  <m:t>5</m:t>
                </m:r>
                <m:r>
                  <m:rPr>
                    <m:sty m:val="p"/>
                  </m:rPr>
                  <w:rPr>
                    <w:rFonts w:ascii="Cambria Math" w:hAnsi="Cambria Math"/>
                  </w:rPr>
                  <m:t>,</m:t>
                </m:r>
                <m:r>
                  <w:rPr>
                    <w:rFonts w:ascii="Cambria Math" w:hAnsi="Cambria Math"/>
                  </w:rPr>
                  <m:t>000</m:t>
                </m:r>
              </m:den>
            </m:f>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10</m:t>
            </m:r>
            <m:r>
              <m:rPr>
                <m:sty m:val="p"/>
              </m:rPr>
              <w:rPr>
                <w:rFonts w:ascii="Cambria Math" w:hAnsi="Cambria Math"/>
              </w:rPr>
              <m:t>,</m:t>
            </m:r>
            <m:r>
              <w:rPr>
                <w:rFonts w:ascii="Cambria Math" w:hAnsi="Cambria Math"/>
              </w:rPr>
              <m:t>000</m:t>
            </m:r>
          </m:den>
        </m:f>
      </m:oMath>
      <w:r>
        <w:t xml:space="preserve"> for men. The distance of men to the population mean is now twice as large as for women, and the gradient for men changes twice as fast. The contribution of the coefficient estimation to the total variance therefore diverges between the groups over time (Figure S8.1), and so do their effective sample sizes.</w:t>
      </w:r>
    </w:p>
    <w:p w14:paraId="0AEB7BDD" w14:textId="77777777" w:rsidR="00AC0E14" w:rsidRDefault="00000000">
      <w:pPr>
        <w:pStyle w:val="CaptionedFigure"/>
      </w:pPr>
      <w:r>
        <w:rPr>
          <w:noProof/>
        </w:rPr>
        <w:lastRenderedPageBreak/>
        <w:drawing>
          <wp:inline distT="0" distB="0" distL="0" distR="0" wp14:anchorId="77AFC5C6" wp14:editId="2D433A10">
            <wp:extent cx="5334000" cy="2370666"/>
            <wp:effectExtent l="0" t="0" r="0" b="0"/>
            <wp:docPr id="60" name="Picture" descr="Figure S8.1. Total variance of the Cox model estimate (solid) and the part from the baseline hazard (dashed) over time, for the binary predictor (A, women and men) and the continuous predictor (B, mean and \pm 1 SD) of the first simulation study. The difference between the lines is the variance from the coefficient estimation."/>
            <wp:cNvGraphicFramePr/>
            <a:graphic xmlns:a="http://schemas.openxmlformats.org/drawingml/2006/main">
              <a:graphicData uri="http://schemas.openxmlformats.org/drawingml/2006/picture">
                <pic:pic xmlns:pic="http://schemas.openxmlformats.org/drawingml/2006/picture">
                  <pic:nvPicPr>
                    <pic:cNvPr id="61" name="Picture" descr="supplement_files/figure-docx/s8-fig-variance-1.png"/>
                    <pic:cNvPicPr>
                      <a:picLocks noChangeAspect="1" noChangeArrowheads="1"/>
                    </pic:cNvPicPr>
                  </pic:nvPicPr>
                  <pic:blipFill>
                    <a:blip r:embed="rId16"/>
                    <a:stretch>
                      <a:fillRect/>
                    </a:stretch>
                  </pic:blipFill>
                  <pic:spPr bwMode="auto">
                    <a:xfrm>
                      <a:off x="0" y="0"/>
                      <a:ext cx="5334000" cy="2370666"/>
                    </a:xfrm>
                    <a:prstGeom prst="rect">
                      <a:avLst/>
                    </a:prstGeom>
                    <a:noFill/>
                    <a:ln w="9525">
                      <a:noFill/>
                      <a:headEnd/>
                      <a:tailEnd/>
                    </a:ln>
                  </pic:spPr>
                </pic:pic>
              </a:graphicData>
            </a:graphic>
          </wp:inline>
        </w:drawing>
      </w:r>
    </w:p>
    <w:p w14:paraId="06FB8CFA" w14:textId="77777777" w:rsidR="00AC0E14" w:rsidRDefault="00000000">
      <w:pPr>
        <w:pStyle w:val="ImageCaption"/>
      </w:pPr>
      <w:r>
        <w:t xml:space="preserve">Figure S8.1. Total variance of the Cox model estimate (solid) and the part from the baseline hazard (dashed) over time, for the binary predictor (A, women and men) and the continuous predictor (B, mean and </w:t>
      </w:r>
      <m:oMath>
        <m:r>
          <w:rPr>
            <w:rFonts w:ascii="Cambria Math" w:hAnsi="Cambria Math"/>
          </w:rPr>
          <m:t>±1</m:t>
        </m:r>
      </m:oMath>
      <w:r>
        <w:t xml:space="preserve"> SD) of the first simulation study. The difference between the lines is the variance from the coefficient estimation.</w:t>
      </w:r>
    </w:p>
    <w:p w14:paraId="7B5C156E" w14:textId="77777777" w:rsidR="00AC0E14" w:rsidRDefault="00000000">
      <w:r>
        <w:br w:type="page"/>
      </w:r>
    </w:p>
    <w:p w14:paraId="16AF0929" w14:textId="77777777" w:rsidR="00AC0E14" w:rsidRDefault="00000000">
      <w:pPr>
        <w:pStyle w:val="Heading1"/>
      </w:pPr>
      <w:bookmarkStart w:id="21" w:name="X3a8b0a5ee16bf2cf8f1edf36e95a89c61e80364"/>
      <w:bookmarkStart w:id="22" w:name="_Toc244093845"/>
      <w:bookmarkEnd w:id="19"/>
      <w:r>
        <w:lastRenderedPageBreak/>
        <w:t xml:space="preserve">Supplement 9: Convergence of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towards the Kaplan-Meier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bookmarkEnd w:id="22"/>
    </w:p>
    <w:p w14:paraId="53FF2875" w14:textId="77777777" w:rsidR="00AC0E14" w:rsidRDefault="00000000">
      <w:pPr>
        <w:pStyle w:val="FirstParagraph"/>
      </w:pPr>
      <w:r>
        <w:t>The effective sample size of a Cox model prediction is above the sample size of the group early in follow-up, and decreases as events accumulate. This was investigated in a simulation study, which is reported according to the ADEMP framework (see Supplement 7).</w:t>
      </w:r>
    </w:p>
    <w:p w14:paraId="7EC0040A" w14:textId="77777777" w:rsidR="00AC0E14" w:rsidRDefault="00000000">
      <w:pPr>
        <w:pStyle w:val="BodyText"/>
      </w:pPr>
      <w:r>
        <w:rPr>
          <w:b/>
          <w:bCs/>
        </w:rPr>
        <w:t>Aims.</w:t>
      </w:r>
      <w:r>
        <w:t xml:space="preserve"> To investigate what governs this decrease.</w:t>
      </w:r>
    </w:p>
    <w:p w14:paraId="2767F749" w14:textId="77777777" w:rsidR="00AC0E14" w:rsidRDefault="00000000">
      <w:pPr>
        <w:pStyle w:val="BodyText"/>
      </w:pPr>
      <w:r>
        <w:rPr>
          <w:b/>
          <w:bCs/>
        </w:rPr>
        <w:t>Data-generating mechanisms.</w:t>
      </w:r>
      <w:r>
        <w:t xml:space="preserve"> We simulated 100 datasets of </w:t>
      </w:r>
      <m:oMath>
        <m:r>
          <w:rPr>
            <w:rFonts w:ascii="Cambria Math" w:hAnsi="Cambria Math"/>
          </w:rPr>
          <m:t>N</m:t>
        </m:r>
        <m:r>
          <m:rPr>
            <m:sty m:val="p"/>
          </m:rPr>
          <w:rPr>
            <w:rFonts w:ascii="Cambria Math" w:hAnsi="Cambria Math"/>
          </w:rPr>
          <m:t>=</m:t>
        </m:r>
        <m:r>
          <w:rPr>
            <w:rFonts w:ascii="Cambria Math" w:hAnsi="Cambria Math"/>
          </w:rPr>
          <m:t>1000</m:t>
        </m:r>
      </m:oMath>
      <w:r>
        <w:t xml:space="preserve"> patients (500 per group) from a Weibull model with shape 0.5, a binary predictor with a hazard ratio of 2, and no censoring. We repeated this for five baseline event rates (5% to 75% of the patients in the group with </w:t>
      </w:r>
      <m:oMath>
        <m:r>
          <w:rPr>
            <w:rFonts w:ascii="Cambria Math" w:hAnsi="Cambria Math"/>
          </w:rPr>
          <m:t>X</m:t>
        </m:r>
        <m:r>
          <m:rPr>
            <m:sty m:val="p"/>
          </m:rPr>
          <w:rPr>
            <w:rFonts w:ascii="Cambria Math" w:hAnsi="Cambria Math"/>
          </w:rPr>
          <m:t>=</m:t>
        </m:r>
        <m:r>
          <w:rPr>
            <w:rFonts w:ascii="Cambria Math" w:hAnsi="Cambria Math"/>
          </w:rPr>
          <m:t>0</m:t>
        </m:r>
      </m:oMath>
      <w:r>
        <w:t xml:space="preserve"> had an event at the end of follow-up, </w:t>
      </w:r>
      <m:oMath>
        <m:r>
          <w:rPr>
            <w:rFonts w:ascii="Cambria Math" w:hAnsi="Cambria Math"/>
          </w:rPr>
          <m:t>t</m:t>
        </m:r>
        <m:r>
          <m:rPr>
            <m:sty m:val="p"/>
          </m:rPr>
          <w:rPr>
            <w:rFonts w:ascii="Cambria Math" w:hAnsi="Cambria Math"/>
          </w:rPr>
          <m:t>=</m:t>
        </m:r>
        <m:r>
          <w:rPr>
            <w:rFonts w:ascii="Cambria Math" w:hAnsi="Cambria Math"/>
          </w:rPr>
          <m:t>10</m:t>
        </m:r>
      </m:oMath>
      <w:r>
        <w:t>).</w:t>
      </w:r>
    </w:p>
    <w:p w14:paraId="5A86648A" w14:textId="77777777" w:rsidR="00AC0E14" w:rsidRDefault="00000000">
      <w:pPr>
        <w:pStyle w:val="BodyText"/>
      </w:pPr>
      <w:r>
        <w:rPr>
          <w:b/>
          <w:bCs/>
        </w:rPr>
        <w:t>Estimands.</w:t>
      </w:r>
      <w:r>
        <w:t xml:space="preserve"> The effective sample size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X</m:t>
            </m:r>
          </m:e>
        </m:d>
      </m:oMath>
      <w:r>
        <w:t xml:space="preserve"> of the Cox model predictions for both groups (</w:t>
      </w:r>
      <m:oMath>
        <m:r>
          <w:rPr>
            <w:rFonts w:ascii="Cambria Math" w:hAnsi="Cambria Math"/>
          </w:rPr>
          <m:t>X</m:t>
        </m:r>
        <m:r>
          <m:rPr>
            <m:sty m:val="p"/>
          </m:rPr>
          <w:rPr>
            <w:rFonts w:ascii="Cambria Math" w:hAnsi="Cambria Math"/>
          </w:rPr>
          <m:t>=</m:t>
        </m:r>
        <m:r>
          <w:rPr>
            <w:rFonts w:ascii="Cambria Math" w:hAnsi="Cambria Math"/>
          </w:rPr>
          <m:t>0</m:t>
        </m:r>
      </m:oMath>
      <w:r>
        <w:t xml:space="preserve"> and </w:t>
      </w:r>
      <m:oMath>
        <m:r>
          <w:rPr>
            <w:rFonts w:ascii="Cambria Math" w:hAnsi="Cambria Math"/>
          </w:rPr>
          <m:t>X</m:t>
        </m:r>
        <m:r>
          <m:rPr>
            <m:sty m:val="p"/>
          </m:rPr>
          <w:rPr>
            <w:rFonts w:ascii="Cambria Math" w:hAnsi="Cambria Math"/>
          </w:rPr>
          <m:t>=</m:t>
        </m:r>
        <m:r>
          <w:rPr>
            <w:rFonts w:ascii="Cambria Math" w:hAnsi="Cambria Math"/>
          </w:rPr>
          <m:t>1</m:t>
        </m:r>
      </m:oMath>
      <w:r>
        <w:t>). The Kaplan-Meier effective sample size of each group is the number of patients in the group, 500, and decreases as patients leave the risk set.</w:t>
      </w:r>
    </w:p>
    <w:p w14:paraId="70CBE4BC" w14:textId="77777777" w:rsidR="00AC0E14" w:rsidRDefault="00000000">
      <w:pPr>
        <w:pStyle w:val="BodyText"/>
      </w:pPr>
      <w:r>
        <w:rPr>
          <w:b/>
          <w:bCs/>
        </w:rPr>
        <w:t>Methods.</w:t>
      </w:r>
      <w:r>
        <w:t xml:space="preserve"> In each dataset we fitted a Cox model with the binary predictor and calculated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with Equations (2) and (3) in the main text. We averaged the effective sample sizes over the 100 datasets.</w:t>
      </w:r>
    </w:p>
    <w:p w14:paraId="591301FF" w14:textId="77777777" w:rsidR="00AC0E14" w:rsidRDefault="00000000">
      <w:pPr>
        <w:pStyle w:val="BodyText"/>
      </w:pPr>
      <w:r>
        <w:rPr>
          <w:b/>
          <w:bCs/>
        </w:rPr>
        <w:t>Performance measures.</w:t>
      </w:r>
      <w:r>
        <w:t xml:space="preserve"> Figure S9.1 shows the mean effective sample size of the Cox model predictions for both groups against time (A), the number of events (B) and the proportion of all events that had occurred (C).</w:t>
      </w:r>
    </w:p>
    <w:p w14:paraId="49407DA9" w14:textId="77777777" w:rsidR="00AC0E14" w:rsidRDefault="00000000">
      <w:pPr>
        <w:pStyle w:val="Heading3"/>
      </w:pPr>
      <w:bookmarkStart w:id="23" w:name="results-1"/>
      <w:r>
        <w:t>Results</w:t>
      </w:r>
    </w:p>
    <w:p w14:paraId="4A21970F" w14:textId="77777777" w:rsidR="00AC0E14" w:rsidRDefault="00000000">
      <w:pPr>
        <w:pStyle w:val="FirstParagraph"/>
      </w:pPr>
      <w:r>
        <w:t>The curves of the different event rates only coincided when they were plotted against the proportion of all events: the effective sample size was determined by how much of the information in the data had been observed, not by the time or by the number of events. The effective sample size converged to the group size, the dotted line at 500, as the events accumulated.</w:t>
      </w:r>
    </w:p>
    <w:p w14:paraId="05ACEC0D" w14:textId="77777777" w:rsidR="00AC0E14" w:rsidRDefault="00000000">
      <w:pPr>
        <w:pStyle w:val="CaptionedFigure"/>
      </w:pPr>
      <w:r>
        <w:rPr>
          <w:noProof/>
        </w:rPr>
        <w:lastRenderedPageBreak/>
        <w:drawing>
          <wp:inline distT="0" distB="0" distL="0" distR="0" wp14:anchorId="0717387B" wp14:editId="20DE70CC">
            <wp:extent cx="5334000" cy="3555999"/>
            <wp:effectExtent l="0" t="0" r="0" b="0"/>
            <wp:docPr id="64" name="Picture" descr="Figure S9.1. Effective sample size of Cox model predictions based on a single binary variable (HR 2; X = 0 and X = 1) as a function of time (A), the number of events (B) and the proportion of all events (C), for five baseline event rates. Dotted lines: N = 1000 and the group size of 500."/>
            <wp:cNvGraphicFramePr/>
            <a:graphic xmlns:a="http://schemas.openxmlformats.org/drawingml/2006/main">
              <a:graphicData uri="http://schemas.openxmlformats.org/drawingml/2006/picture">
                <pic:pic xmlns:pic="http://schemas.openxmlformats.org/drawingml/2006/picture">
                  <pic:nvPicPr>
                    <pic:cNvPr id="65" name="Picture" descr="supplement_files/figure-docx/s9-fig-1.png"/>
                    <pic:cNvPicPr>
                      <a:picLocks noChangeAspect="1" noChangeArrowheads="1"/>
                    </pic:cNvPicPr>
                  </pic:nvPicPr>
                  <pic:blipFill>
                    <a:blip r:embed="rId17"/>
                    <a:stretch>
                      <a:fillRect/>
                    </a:stretch>
                  </pic:blipFill>
                  <pic:spPr bwMode="auto">
                    <a:xfrm>
                      <a:off x="0" y="0"/>
                      <a:ext cx="5334000" cy="3555999"/>
                    </a:xfrm>
                    <a:prstGeom prst="rect">
                      <a:avLst/>
                    </a:prstGeom>
                    <a:noFill/>
                    <a:ln w="9525">
                      <a:noFill/>
                      <a:headEnd/>
                      <a:tailEnd/>
                    </a:ln>
                  </pic:spPr>
                </pic:pic>
              </a:graphicData>
            </a:graphic>
          </wp:inline>
        </w:drawing>
      </w:r>
    </w:p>
    <w:p w14:paraId="55E85AC8" w14:textId="77777777" w:rsidR="00AC0E14" w:rsidRDefault="00000000">
      <w:pPr>
        <w:pStyle w:val="ImageCaption"/>
      </w:pPr>
      <w:r>
        <w:t xml:space="preserve">Figure S9.1. Effective sample size of Cox model predictions based on a single binary variable (HR 2; </w:t>
      </w:r>
      <m:oMath>
        <m:r>
          <w:rPr>
            <w:rFonts w:ascii="Cambria Math" w:hAnsi="Cambria Math"/>
          </w:rPr>
          <m:t>X=0</m:t>
        </m:r>
      </m:oMath>
      <w:r>
        <w:t xml:space="preserve"> and </w:t>
      </w:r>
      <m:oMath>
        <m:r>
          <w:rPr>
            <w:rFonts w:ascii="Cambria Math" w:hAnsi="Cambria Math"/>
          </w:rPr>
          <m:t>X=1</m:t>
        </m:r>
      </m:oMath>
      <w:r>
        <w:t xml:space="preserve">) as a function of time (A), the number of events (B) and the proportion of all events (C), for five baseline event rates. Dotted lines: </w:t>
      </w:r>
      <m:oMath>
        <m:r>
          <w:rPr>
            <w:rFonts w:ascii="Cambria Math" w:hAnsi="Cambria Math"/>
          </w:rPr>
          <m:t>N=1000</m:t>
        </m:r>
      </m:oMath>
      <w:r>
        <w:t xml:space="preserve"> and the group size of 500.</w:t>
      </w:r>
    </w:p>
    <w:p w14:paraId="4DEF7D00" w14:textId="77777777" w:rsidR="00AC0E14" w:rsidRDefault="00000000">
      <w:r>
        <w:br w:type="page"/>
      </w:r>
    </w:p>
    <w:p w14:paraId="779B5ABD" w14:textId="77777777" w:rsidR="00AC0E14" w:rsidRDefault="00000000">
      <w:pPr>
        <w:pStyle w:val="Heading1"/>
      </w:pPr>
      <w:bookmarkStart w:id="24" w:name="Xa92714f13573a62b57dcdad64bda12acf67049e"/>
      <w:bookmarkStart w:id="25" w:name="_Toc244093846"/>
      <w:bookmarkEnd w:id="21"/>
      <w:bookmarkEnd w:id="23"/>
      <w:r>
        <w:lastRenderedPageBreak/>
        <w:t>Supplement 10: Logistic regression has higher variance than Cox regression</w:t>
      </w:r>
      <w:bookmarkEnd w:id="25"/>
    </w:p>
    <w:p w14:paraId="1DF4FA86" w14:textId="77777777" w:rsidR="00AC0E14" w:rsidRDefault="00000000">
      <w:pPr>
        <w:pStyle w:val="FirstParagraph"/>
      </w:pPr>
      <w:r>
        <w:t xml:space="preserve">We showed that the variance of a logistic regression prediction was higher than that of a Cox regression prediction for the same patient in a simulation without censoring. We simulated data on 10,000 patients with a time-to-event outcome based on a single continuous predictor </w:t>
      </w:r>
      <m:oMath>
        <m:r>
          <w:rPr>
            <w:rFonts w:ascii="Cambria Math" w:hAnsi="Cambria Math"/>
          </w:rPr>
          <m:t>X</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with a hazard ratio of 2 and an exponential baseline hazard with scale 10. We fitted a Cox model and made survival predictions at times </w:t>
      </w:r>
      <m:oMath>
        <m:r>
          <w:rPr>
            <w:rFonts w:ascii="Cambria Math" w:hAnsi="Cambria Math"/>
          </w:rPr>
          <m:t>t</m:t>
        </m:r>
        <m:r>
          <m:rPr>
            <m:sty m:val="p"/>
          </m:rPr>
          <w:rPr>
            <w:rFonts w:ascii="Cambria Math" w:hAnsi="Cambria Math"/>
          </w:rPr>
          <m:t>=</m:t>
        </m:r>
        <m:r>
          <w:rPr>
            <w:rFonts w:ascii="Cambria Math" w:hAnsi="Cambria Math"/>
          </w:rPr>
          <m:t>0.01</m:t>
        </m:r>
      </m:oMath>
      <w:r>
        <w:t xml:space="preserve"> and </w:t>
      </w:r>
      <m:oMath>
        <m:r>
          <w:rPr>
            <w:rFonts w:ascii="Cambria Math" w:hAnsi="Cambria Math"/>
          </w:rPr>
          <m:t>t</m:t>
        </m:r>
        <m:r>
          <m:rPr>
            <m:sty m:val="p"/>
          </m:rPr>
          <w:rPr>
            <w:rFonts w:ascii="Cambria Math" w:hAnsi="Cambria Math"/>
          </w:rPr>
          <m:t>=</m:t>
        </m:r>
        <m:r>
          <w:rPr>
            <w:rFonts w:ascii="Cambria Math" w:hAnsi="Cambria Math"/>
          </w:rPr>
          <m:t>2</m:t>
        </m:r>
      </m:oMath>
      <w:r>
        <w:t xml:space="preserve">. We also fitted logistic regression models on the observed outcomes (event before </w:t>
      </w:r>
      <m:oMath>
        <m:r>
          <w:rPr>
            <w:rFonts w:ascii="Cambria Math" w:hAnsi="Cambria Math"/>
          </w:rPr>
          <m:t>t</m:t>
        </m:r>
      </m:oMath>
      <w:r>
        <w:t xml:space="preserve"> or not) at these times and predicted at the same times. To check where the difference came from, we also fitted Cox models that only used the data up to </w:t>
      </w:r>
      <m:oMath>
        <m:r>
          <w:rPr>
            <w:rFonts w:ascii="Cambria Math" w:hAnsi="Cambria Math"/>
          </w:rPr>
          <m:t>t</m:t>
        </m:r>
      </m:oMath>
      <w:r>
        <w:t xml:space="preserve"> (patients with an event before </w:t>
      </w:r>
      <m:oMath>
        <m:r>
          <w:rPr>
            <w:rFonts w:ascii="Cambria Math" w:hAnsi="Cambria Math"/>
          </w:rPr>
          <m:t>t</m:t>
        </m:r>
      </m:oMath>
      <w:r>
        <w:t xml:space="preserve"> got an event at </w:t>
      </w:r>
      <m:oMath>
        <m:r>
          <w:rPr>
            <w:rFonts w:ascii="Cambria Math" w:hAnsi="Cambria Math"/>
          </w:rPr>
          <m:t>t</m:t>
        </m:r>
      </m:oMath>
      <w:r>
        <w:t xml:space="preserve">, all others were censored at </w:t>
      </w:r>
      <m:oMath>
        <m:r>
          <w:rPr>
            <w:rFonts w:ascii="Cambria Math" w:hAnsi="Cambria Math"/>
          </w:rPr>
          <m:t>t</m:t>
        </m:r>
      </m:oMath>
      <w:r>
        <w:t xml:space="preserve"> or later).</w:t>
      </w:r>
    </w:p>
    <w:p w14:paraId="5A3BB5E1" w14:textId="77777777" w:rsidR="00AC0E14" w:rsidRDefault="00000000">
      <w:pPr>
        <w:pStyle w:val="TableCaption"/>
      </w:pPr>
      <w:r>
        <w:t>Table S10.1. Cox model and logistic regression predictions for a patient with the mean value of X.</w:t>
      </w:r>
    </w:p>
    <w:tbl>
      <w:tblPr>
        <w:tblStyle w:val="Table"/>
        <w:tblW w:w="0" w:type="auto"/>
        <w:tblLook w:val="0020" w:firstRow="1" w:lastRow="0" w:firstColumn="0" w:lastColumn="0" w:noHBand="0" w:noVBand="0"/>
      </w:tblPr>
      <w:tblGrid>
        <w:gridCol w:w="7679"/>
        <w:gridCol w:w="971"/>
        <w:gridCol w:w="926"/>
      </w:tblGrid>
      <w:tr w:rsidR="00AC0E14" w14:paraId="737A87E1" w14:textId="77777777" w:rsidTr="00AC0E14">
        <w:trPr>
          <w:cnfStyle w:val="100000000000" w:firstRow="1" w:lastRow="0" w:firstColumn="0" w:lastColumn="0" w:oddVBand="0" w:evenVBand="0" w:oddHBand="0" w:evenHBand="0" w:firstRowFirstColumn="0" w:firstRowLastColumn="0" w:lastRowFirstColumn="0" w:lastRowLastColumn="0"/>
          <w:tblHeader/>
        </w:trPr>
        <w:tc>
          <w:tcPr>
            <w:tcW w:w="0" w:type="auto"/>
          </w:tcPr>
          <w:p w14:paraId="3FBD525A" w14:textId="77777777" w:rsidR="00AC0E14" w:rsidRDefault="00AC0E14">
            <w:pPr>
              <w:pStyle w:val="Compact"/>
            </w:pPr>
          </w:p>
        </w:tc>
        <w:tc>
          <w:tcPr>
            <w:tcW w:w="0" w:type="auto"/>
          </w:tcPr>
          <w:p w14:paraId="5D0D29D3" w14:textId="77777777" w:rsidR="00AC0E14" w:rsidRDefault="00000000">
            <w:pPr>
              <w:pStyle w:val="Compact"/>
              <w:jc w:val="right"/>
            </w:pPr>
            <w:r>
              <w:t>t = 0.01</w:t>
            </w:r>
          </w:p>
        </w:tc>
        <w:tc>
          <w:tcPr>
            <w:tcW w:w="0" w:type="auto"/>
          </w:tcPr>
          <w:p w14:paraId="5D0A6967" w14:textId="77777777" w:rsidR="00AC0E14" w:rsidRDefault="00000000">
            <w:pPr>
              <w:pStyle w:val="Compact"/>
              <w:jc w:val="right"/>
            </w:pPr>
            <w:r>
              <w:t>t = 2</w:t>
            </w:r>
          </w:p>
        </w:tc>
      </w:tr>
      <w:tr w:rsidR="00AC0E14" w14:paraId="1DC498C8" w14:textId="77777777">
        <w:tc>
          <w:tcPr>
            <w:tcW w:w="0" w:type="auto"/>
          </w:tcPr>
          <w:p w14:paraId="3EBBBF6B" w14:textId="77777777" w:rsidR="00AC0E14" w:rsidRDefault="00000000">
            <w:pPr>
              <w:pStyle w:val="Compact"/>
            </w:pPr>
            <w:r>
              <w:t>Difference between the predicted survival of Cox and logistic regression (%)</w:t>
            </w:r>
          </w:p>
        </w:tc>
        <w:tc>
          <w:tcPr>
            <w:tcW w:w="0" w:type="auto"/>
          </w:tcPr>
          <w:p w14:paraId="43AB4F4D" w14:textId="77777777" w:rsidR="00AC0E14" w:rsidRDefault="00000000">
            <w:pPr>
              <w:pStyle w:val="Compact"/>
              <w:jc w:val="right"/>
            </w:pPr>
            <w:r>
              <w:t>0.0033</w:t>
            </w:r>
          </w:p>
        </w:tc>
        <w:tc>
          <w:tcPr>
            <w:tcW w:w="0" w:type="auto"/>
          </w:tcPr>
          <w:p w14:paraId="1E0E183D" w14:textId="77777777" w:rsidR="00AC0E14" w:rsidRDefault="00000000">
            <w:pPr>
              <w:pStyle w:val="Compact"/>
              <w:jc w:val="right"/>
            </w:pPr>
            <w:r>
              <w:t>0.567</w:t>
            </w:r>
          </w:p>
        </w:tc>
      </w:tr>
      <w:tr w:rsidR="00AC0E14" w14:paraId="3A1ECACA" w14:textId="77777777">
        <w:tc>
          <w:tcPr>
            <w:tcW w:w="0" w:type="auto"/>
          </w:tcPr>
          <w:p w14:paraId="1A25E21D" w14:textId="77777777" w:rsidR="00AC0E14" w:rsidRDefault="00000000">
            <w:pPr>
              <w:pStyle w:val="Compact"/>
            </w:pPr>
            <w:r>
              <w:t>Variance of Cox / variance of logistic regression</w:t>
            </w:r>
          </w:p>
        </w:tc>
        <w:tc>
          <w:tcPr>
            <w:tcW w:w="0" w:type="auto"/>
          </w:tcPr>
          <w:p w14:paraId="3A602184" w14:textId="77777777" w:rsidR="00AC0E14" w:rsidRDefault="00000000">
            <w:pPr>
              <w:pStyle w:val="Compact"/>
              <w:jc w:val="right"/>
            </w:pPr>
            <w:r>
              <w:t>0.664</w:t>
            </w:r>
          </w:p>
        </w:tc>
        <w:tc>
          <w:tcPr>
            <w:tcW w:w="0" w:type="auto"/>
          </w:tcPr>
          <w:p w14:paraId="14F29A86" w14:textId="77777777" w:rsidR="00AC0E14" w:rsidRDefault="00000000">
            <w:pPr>
              <w:pStyle w:val="Compact"/>
              <w:jc w:val="right"/>
            </w:pPr>
            <w:r>
              <w:t>0.788</w:t>
            </w:r>
          </w:p>
        </w:tc>
      </w:tr>
      <w:tr w:rsidR="00AC0E14" w14:paraId="48CB256C" w14:textId="77777777">
        <w:tc>
          <w:tcPr>
            <w:tcW w:w="0" w:type="auto"/>
          </w:tcPr>
          <w:p w14:paraId="4A56857E" w14:textId="77777777" w:rsidR="00AC0E14" w:rsidRDefault="00000000">
            <w:pPr>
              <w:pStyle w:val="Compact"/>
            </w:pP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of the Cox model</w:t>
            </w:r>
          </w:p>
        </w:tc>
        <w:tc>
          <w:tcPr>
            <w:tcW w:w="0" w:type="auto"/>
          </w:tcPr>
          <w:p w14:paraId="744C1201" w14:textId="77777777" w:rsidR="00AC0E14" w:rsidRDefault="00000000">
            <w:pPr>
              <w:pStyle w:val="Compact"/>
              <w:jc w:val="right"/>
            </w:pPr>
            <w:r>
              <w:t>12,684</w:t>
            </w:r>
          </w:p>
        </w:tc>
        <w:tc>
          <w:tcPr>
            <w:tcW w:w="0" w:type="auto"/>
          </w:tcPr>
          <w:p w14:paraId="255BAB66" w14:textId="77777777" w:rsidR="00AC0E14" w:rsidRDefault="00000000">
            <w:pPr>
              <w:pStyle w:val="Compact"/>
              <w:jc w:val="right"/>
            </w:pPr>
            <w:r>
              <w:t>10,561</w:t>
            </w:r>
          </w:p>
        </w:tc>
      </w:tr>
      <w:tr w:rsidR="00AC0E14" w14:paraId="26288D70" w14:textId="77777777">
        <w:tc>
          <w:tcPr>
            <w:tcW w:w="0" w:type="auto"/>
          </w:tcPr>
          <w:p w14:paraId="34677102" w14:textId="77777777" w:rsidR="00AC0E14" w:rsidRDefault="00000000">
            <w:pPr>
              <w:pStyle w:val="Compact"/>
            </w:pP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of logistic regression</w:t>
            </w:r>
          </w:p>
        </w:tc>
        <w:tc>
          <w:tcPr>
            <w:tcW w:w="0" w:type="auto"/>
          </w:tcPr>
          <w:p w14:paraId="7F672C38" w14:textId="77777777" w:rsidR="00AC0E14" w:rsidRDefault="00000000">
            <w:pPr>
              <w:pStyle w:val="Compact"/>
              <w:jc w:val="right"/>
            </w:pPr>
            <w:r>
              <w:t>8,722</w:t>
            </w:r>
          </w:p>
        </w:tc>
        <w:tc>
          <w:tcPr>
            <w:tcW w:w="0" w:type="auto"/>
          </w:tcPr>
          <w:p w14:paraId="34186006" w14:textId="77777777" w:rsidR="00AC0E14" w:rsidRDefault="00000000">
            <w:pPr>
              <w:pStyle w:val="Compact"/>
              <w:jc w:val="right"/>
            </w:pPr>
            <w:r>
              <w:t>8,489</w:t>
            </w:r>
          </w:p>
        </w:tc>
      </w:tr>
      <w:tr w:rsidR="00AC0E14" w14:paraId="2F333237" w14:textId="77777777">
        <w:tc>
          <w:tcPr>
            <w:tcW w:w="0" w:type="auto"/>
          </w:tcPr>
          <w:p w14:paraId="7CC6D18F" w14:textId="77777777" w:rsidR="00AC0E14" w:rsidRDefault="00000000">
            <w:pPr>
              <w:pStyle w:val="Compact"/>
            </w:pPr>
            <w:r>
              <w:t>Width of the 95% CI, Cox / logistic regression</w:t>
            </w:r>
          </w:p>
        </w:tc>
        <w:tc>
          <w:tcPr>
            <w:tcW w:w="0" w:type="auto"/>
          </w:tcPr>
          <w:p w14:paraId="72624CEA" w14:textId="77777777" w:rsidR="00AC0E14" w:rsidRDefault="00000000">
            <w:pPr>
              <w:pStyle w:val="Compact"/>
              <w:jc w:val="right"/>
            </w:pPr>
            <w:r>
              <w:t>0.757</w:t>
            </w:r>
          </w:p>
        </w:tc>
        <w:tc>
          <w:tcPr>
            <w:tcW w:w="0" w:type="auto"/>
          </w:tcPr>
          <w:p w14:paraId="402D917D" w14:textId="77777777" w:rsidR="00AC0E14" w:rsidRDefault="00000000">
            <w:pPr>
              <w:pStyle w:val="Compact"/>
              <w:jc w:val="right"/>
            </w:pPr>
            <w:r>
              <w:t>0.887</w:t>
            </w:r>
          </w:p>
        </w:tc>
      </w:tr>
      <w:tr w:rsidR="00AC0E14" w14:paraId="26611BFC" w14:textId="77777777">
        <w:tc>
          <w:tcPr>
            <w:tcW w:w="0" w:type="auto"/>
          </w:tcPr>
          <w:p w14:paraId="5A1A3E99" w14:textId="77777777" w:rsidR="00AC0E14" w:rsidRDefault="00000000">
            <w:pPr>
              <w:pStyle w:val="Compact"/>
            </w:pPr>
            <w:r>
              <w:t xml:space="preserve">Variance of Cox restricted to the data up to </w:t>
            </w:r>
            <m:oMath>
              <m:r>
                <w:rPr>
                  <w:rFonts w:ascii="Cambria Math" w:hAnsi="Cambria Math"/>
                </w:rPr>
                <m:t>t</m:t>
              </m:r>
            </m:oMath>
            <w:r>
              <w:t xml:space="preserve"> / variance of logistic regression</w:t>
            </w:r>
          </w:p>
        </w:tc>
        <w:tc>
          <w:tcPr>
            <w:tcW w:w="0" w:type="auto"/>
          </w:tcPr>
          <w:p w14:paraId="3BE04C86" w14:textId="77777777" w:rsidR="00AC0E14" w:rsidRDefault="00000000">
            <w:pPr>
              <w:pStyle w:val="Compact"/>
              <w:jc w:val="right"/>
            </w:pPr>
            <w:r>
              <w:t>1.000</w:t>
            </w:r>
          </w:p>
        </w:tc>
        <w:tc>
          <w:tcPr>
            <w:tcW w:w="0" w:type="auto"/>
          </w:tcPr>
          <w:p w14:paraId="26E47B76" w14:textId="77777777" w:rsidR="00AC0E14" w:rsidRDefault="00000000">
            <w:pPr>
              <w:pStyle w:val="Compact"/>
              <w:jc w:val="right"/>
            </w:pPr>
            <w:r>
              <w:t>0.969</w:t>
            </w:r>
          </w:p>
        </w:tc>
      </w:tr>
      <w:tr w:rsidR="00AC0E14" w14:paraId="47C835E2" w14:textId="77777777">
        <w:tc>
          <w:tcPr>
            <w:tcW w:w="0" w:type="auto"/>
          </w:tcPr>
          <w:p w14:paraId="767B5C46" w14:textId="77777777" w:rsidR="00AC0E14" w:rsidRDefault="00000000">
            <w:pPr>
              <w:pStyle w:val="Compact"/>
            </w:pP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of the Cox model restricted to the data up to </w:t>
            </w:r>
            <m:oMath>
              <m:r>
                <w:rPr>
                  <w:rFonts w:ascii="Cambria Math" w:hAnsi="Cambria Math"/>
                </w:rPr>
                <m:t>t</m:t>
              </m:r>
            </m:oMath>
          </w:p>
        </w:tc>
        <w:tc>
          <w:tcPr>
            <w:tcW w:w="0" w:type="auto"/>
          </w:tcPr>
          <w:p w14:paraId="758FDF70" w14:textId="77777777" w:rsidR="00AC0E14" w:rsidRDefault="00000000">
            <w:pPr>
              <w:pStyle w:val="Compact"/>
              <w:jc w:val="right"/>
            </w:pPr>
            <w:r>
              <w:t>8,723</w:t>
            </w:r>
          </w:p>
        </w:tc>
        <w:tc>
          <w:tcPr>
            <w:tcW w:w="0" w:type="auto"/>
          </w:tcPr>
          <w:p w14:paraId="2B7BCF30" w14:textId="77777777" w:rsidR="00AC0E14" w:rsidRDefault="00000000">
            <w:pPr>
              <w:pStyle w:val="Compact"/>
              <w:jc w:val="right"/>
            </w:pPr>
            <w:r>
              <w:t>8,674</w:t>
            </w:r>
          </w:p>
        </w:tc>
      </w:tr>
    </w:tbl>
    <w:p w14:paraId="66C809F2" w14:textId="77777777" w:rsidR="00AC0E14" w:rsidRDefault="00000000">
      <w:pPr>
        <w:pStyle w:val="BodyText"/>
      </w:pPr>
      <w:r>
        <w:t xml:space="preserve">The predictions of the Cox model and the logistic regression model were nearly identical at both times (Table S10.1), with the differences explained by finite sample behavior and not by bias. At </w:t>
      </w:r>
      <m:oMath>
        <m:r>
          <w:rPr>
            <w:rFonts w:ascii="Cambria Math" w:hAnsi="Cambria Math"/>
          </w:rPr>
          <m:t>t</m:t>
        </m:r>
        <m:r>
          <m:rPr>
            <m:sty m:val="p"/>
          </m:rPr>
          <w:rPr>
            <w:rFonts w:ascii="Cambria Math" w:hAnsi="Cambria Math"/>
          </w:rPr>
          <m:t>=</m:t>
        </m:r>
        <m:r>
          <w:rPr>
            <w:rFonts w:ascii="Cambria Math" w:hAnsi="Cambria Math"/>
          </w:rPr>
          <m:t>0.01</m:t>
        </m:r>
      </m:oMath>
      <w:r>
        <w:t xml:space="preserve">, the variance of the Cox model prediction was only 66% of the logistic regression variance. This resulted in a much larger effective sample size for the Cox model prediction than for the logistic regression prediction: 12,684 vs 8,722. The width of the confidence interval of the Cox model was 76% of that of logistic regression. When the Cox model only used the data up to </w:t>
      </w:r>
      <m:oMath>
        <m:r>
          <w:rPr>
            <w:rFonts w:ascii="Cambria Math" w:hAnsi="Cambria Math"/>
          </w:rPr>
          <m:t>t</m:t>
        </m:r>
        <m:r>
          <m:rPr>
            <m:sty m:val="p"/>
          </m:rPr>
          <w:rPr>
            <w:rFonts w:ascii="Cambria Math" w:hAnsi="Cambria Math"/>
          </w:rPr>
          <m:t>=</m:t>
        </m:r>
        <m:r>
          <w:rPr>
            <w:rFonts w:ascii="Cambria Math" w:hAnsi="Cambria Math"/>
          </w:rPr>
          <m:t>0.01</m:t>
        </m:r>
      </m:oMath>
      <w:r>
        <w:t>, its variance was 100% of the logistic regression variance and the effective sample sizes were the same. Most of the increased efficiency of the Cox model therefore came from estimating the coefficient with the data from the entire follow-up.</w:t>
      </w:r>
    </w:p>
    <w:p w14:paraId="233289DE" w14:textId="77777777" w:rsidR="00AC0E14" w:rsidRDefault="00000000">
      <w:pPr>
        <w:pStyle w:val="BodyText"/>
      </w:pPr>
      <w:r>
        <w:t xml:space="preserve">At </w:t>
      </w:r>
      <m:oMath>
        <m:r>
          <w:rPr>
            <w:rFonts w:ascii="Cambria Math" w:hAnsi="Cambria Math"/>
          </w:rPr>
          <m:t>t</m:t>
        </m:r>
        <m:r>
          <m:rPr>
            <m:sty m:val="p"/>
          </m:rPr>
          <w:rPr>
            <w:rFonts w:ascii="Cambria Math" w:hAnsi="Cambria Math"/>
          </w:rPr>
          <m:t>=</m:t>
        </m:r>
        <m:r>
          <w:rPr>
            <w:rFonts w:ascii="Cambria Math" w:hAnsi="Cambria Math"/>
          </w:rPr>
          <m:t>2</m:t>
        </m:r>
      </m:oMath>
      <w:r>
        <w:t xml:space="preserve">, the variance of the Cox model prediction was 79% of the logistic regression variance, the effective sample size was 10,561 for the Cox model and 8,489 for logistic regression, and the width of the confidence interval was 88.7% of that of logistic </w:t>
      </w:r>
      <w:r>
        <w:lastRenderedPageBreak/>
        <w:t xml:space="preserve">regression. When the Cox model was restricted to the data up to </w:t>
      </w:r>
      <m:oMath>
        <m:r>
          <w:rPr>
            <w:rFonts w:ascii="Cambria Math" w:hAnsi="Cambria Math"/>
          </w:rPr>
          <m:t>t</m:t>
        </m:r>
        <m:r>
          <m:rPr>
            <m:sty m:val="p"/>
          </m:rPr>
          <w:rPr>
            <w:rFonts w:ascii="Cambria Math" w:hAnsi="Cambria Math"/>
          </w:rPr>
          <m:t>=</m:t>
        </m:r>
        <m:r>
          <w:rPr>
            <w:rFonts w:ascii="Cambria Math" w:hAnsi="Cambria Math"/>
          </w:rPr>
          <m:t>2</m:t>
        </m:r>
      </m:oMath>
      <w:r>
        <w:t xml:space="preserve">, its variance was 96.9% of the logistic regression variance, and its effective sample size was 185 above that of logistic regression. This indicated that the increased efficiency was due to knowing the survival times in addition to the status at time </w:t>
      </w:r>
      <m:oMath>
        <m:r>
          <w:rPr>
            <w:rFonts w:ascii="Cambria Math" w:hAnsi="Cambria Math"/>
          </w:rPr>
          <m:t>t</m:t>
        </m:r>
        <m:r>
          <m:rPr>
            <m:sty m:val="p"/>
          </m:rPr>
          <w:rPr>
            <w:rFonts w:ascii="Cambria Math" w:hAnsi="Cambria Math"/>
          </w:rPr>
          <m:t>=</m:t>
        </m:r>
        <m:r>
          <w:rPr>
            <w:rFonts w:ascii="Cambria Math" w:hAnsi="Cambria Math"/>
          </w:rPr>
          <m:t>2</m:t>
        </m:r>
      </m:oMath>
      <w:r>
        <w:t>.</w:t>
      </w:r>
    </w:p>
    <w:p w14:paraId="64DFD446" w14:textId="77777777" w:rsidR="00AC0E14" w:rsidRDefault="00000000">
      <w:r>
        <w:br w:type="page"/>
      </w:r>
    </w:p>
    <w:p w14:paraId="79DF7E55" w14:textId="77777777" w:rsidR="00AC0E14" w:rsidRDefault="00000000">
      <w:pPr>
        <w:pStyle w:val="Heading1"/>
      </w:pPr>
      <w:bookmarkStart w:id="26" w:name="X7368bd5e958876e6c899d803db37c9ef173beb7"/>
      <w:bookmarkStart w:id="27" w:name="_Toc244093847"/>
      <w:bookmarkEnd w:id="24"/>
      <w:r>
        <w:lastRenderedPageBreak/>
        <w:t>Supplement 11: Effective sample size from a bootstrapped variance estimator</w:t>
      </w:r>
      <w:bookmarkEnd w:id="27"/>
    </w:p>
    <w:p w14:paraId="0DFE7B38" w14:textId="77777777" w:rsidR="00AC0E14" w:rsidRDefault="00000000">
      <w:pPr>
        <w:pStyle w:val="FirstParagraph"/>
      </w:pPr>
      <w:r>
        <w:t xml:space="preserve">The effective sample size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in the article uses the delta-method variance of the Cox model survival estimate (Equation 2 of the article). Any other variance estimator can be used instead. Here we compared the delta-method variance with the bootstrap variance in the colon data, using both a non-parametric and a parametric bootstrap.</w:t>
      </w:r>
    </w:p>
    <w:p w14:paraId="76C9BC07" w14:textId="77777777" w:rsidR="00AC0E14" w:rsidRDefault="00000000">
      <w:pPr>
        <w:pStyle w:val="BodyText"/>
      </w:pPr>
      <w:r>
        <w:t xml:space="preserve">We used the colon data of the article (overall survival, 929 patients, with the number of positive nodes imputed once, as for Figure 3) and the four sequential Cox models of Section 3.3: (A) treatment; (B) treatment and adherence; (C) treatment, adherence and nodes; and (D) treatment, adherence, nodes and age. For each model, we predicted the survival of every patient in the data at 1 to 7 years. The delta-method variance of </w:t>
      </w:r>
      <m:oMath>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was taken from </w:t>
      </w:r>
      <w:r>
        <w:rPr>
          <w:rStyle w:val="VerbatimChar"/>
        </w:rPr>
        <w:t>survfit()</w:t>
      </w:r>
      <w:r>
        <w:t xml:space="preserve"> as in the article.</w:t>
      </w:r>
    </w:p>
    <w:p w14:paraId="343F4A96" w14:textId="77777777" w:rsidR="00AC0E14" w:rsidRDefault="00000000">
      <w:pPr>
        <w:pStyle w:val="BodyText"/>
      </w:pPr>
      <w:r>
        <w:t xml:space="preserve">We generated </w:t>
      </w:r>
      <m:oMath>
        <m:r>
          <w:rPr>
            <w:rFonts w:ascii="Cambria Math" w:hAnsi="Cambria Math"/>
          </w:rPr>
          <m:t>B</m:t>
        </m:r>
        <m:r>
          <m:rPr>
            <m:sty m:val="p"/>
          </m:rPr>
          <w:rPr>
            <w:rFonts w:ascii="Cambria Math" w:hAnsi="Cambria Math"/>
          </w:rPr>
          <m:t>=</m:t>
        </m:r>
        <m:r>
          <w:rPr>
            <w:rFonts w:ascii="Cambria Math" w:hAnsi="Cambria Math"/>
          </w:rPr>
          <m:t>1000</m:t>
        </m:r>
      </m:oMath>
      <w:r>
        <w:t xml:space="preserve"> bootstrap samples in one of two ways. In the non-parametric bootstrap we drew the 929 patients with replacement. In the parametric bootstrap</w:t>
      </w:r>
      <w:r>
        <w:rPr>
          <w:vertAlign w:val="superscript"/>
        </w:rPr>
        <w:t>4</w:t>
      </w:r>
      <w:r>
        <w:t xml:space="preserve"> we kept the covariates of the 929 patients and simulated new outcomes from the Cox model fitted to the original data: event times were drawn from the fitted model with the Breslow estimate of the baseline hazard, and censoring times from the Kaplan-Meier estimate of the censoring distribution, independent of the covariates. In each bootstrap sample we refitted the same Cox model (Efron ties), estimated the cumulative baseline hazard, and predicted the survival for the covariate values of the </w:t>
      </w:r>
      <w:r>
        <w:rPr>
          <w:i/>
          <w:iCs/>
        </w:rPr>
        <w:t>original</w:t>
      </w:r>
      <w:r>
        <w:t xml:space="preserve"> patients. The bootstrap variance of </w:t>
      </w:r>
      <m:oMath>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was the variance of these predictions over the bootstrap samples. For both variances the effective sample size was</w:t>
      </w:r>
    </w:p>
    <w:p w14:paraId="7B1D21A6" w14:textId="77777777" w:rsidR="00AC0E14"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d>
                <m:dPr>
                  <m:ctrlPr>
                    <w:rPr>
                      <w:rFonts w:ascii="Cambria Math" w:hAnsi="Cambria Math"/>
                    </w:rPr>
                  </m:ctrlPr>
                </m:dPr>
                <m:e>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num>
            <m:den>
              <m:r>
                <w:rPr>
                  <w:rFonts w:ascii="Cambria Math" w:hAnsi="Cambria Math"/>
                </w:rPr>
                <m:t>V</m:t>
              </m:r>
              <m:d>
                <m:dPr>
                  <m:ctrlPr>
                    <w:rPr>
                      <w:rFonts w:ascii="Cambria Math" w:hAnsi="Cambria Math"/>
                    </w:rPr>
                  </m:ctrlPr>
                </m:dPr>
                <m:e>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e>
              </m:d>
            </m:den>
          </m:f>
          <m:r>
            <m:rPr>
              <m:sty m:val="p"/>
            </m:rPr>
            <w:rPr>
              <w:rFonts w:ascii="Cambria Math" w:hAnsi="Cambria Math"/>
            </w:rPr>
            <m:t>,</m:t>
          </m:r>
        </m:oMath>
      </m:oMathPara>
    </w:p>
    <w:p w14:paraId="27A0D03F" w14:textId="77777777" w:rsidR="00AC0E14" w:rsidRDefault="00000000">
      <w:pPr>
        <w:pStyle w:val="FirstParagraph"/>
      </w:pPr>
      <w:r>
        <w:t xml:space="preserve">with </w:t>
      </w:r>
      <m:oMath>
        <m:acc>
          <m:accPr>
            <m:ctrlPr>
              <w:rPr>
                <w:rFonts w:ascii="Cambria Math" w:hAnsi="Cambria Math"/>
              </w:rPr>
            </m:ctrlPr>
          </m:accPr>
          <m:e>
            <m:r>
              <w:rPr>
                <w:rFonts w:ascii="Cambria Math" w:hAnsi="Cambria Math"/>
              </w:rPr>
              <m:t>S</m:t>
            </m:r>
          </m:e>
        </m:acc>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x</m:t>
            </m:r>
          </m:e>
        </m:d>
      </m:oMath>
      <w:r>
        <w:t xml:space="preserve"> the estimate from the original fit, so that the two estimates only differed in the variance. We compared them per patient and horizon by the ratio </w:t>
      </w:r>
      <m:oMath>
        <m:sSubSup>
          <m:sSubSupPr>
            <m:ctrlPr>
              <w:rPr>
                <w:rFonts w:ascii="Cambria Math" w:hAnsi="Cambria Math"/>
              </w:rPr>
            </m:ctrlPr>
          </m:sSubSupPr>
          <m:e>
            <m:r>
              <w:rPr>
                <w:rFonts w:ascii="Cambria Math" w:hAnsi="Cambria Math"/>
              </w:rPr>
              <m:t>N</m:t>
            </m:r>
          </m:e>
          <m:sub>
            <m:r>
              <m:rPr>
                <m:sty m:val="p"/>
              </m:rPr>
              <w:rPr>
                <w:rFonts w:ascii="Cambria Math" w:hAnsi="Cambria Math"/>
              </w:rPr>
              <m:t>*</m:t>
            </m:r>
          </m:sub>
          <m:sup>
            <m:r>
              <m:rPr>
                <m:nor/>
              </m:rPr>
              <m:t>boot</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m:t>
            </m:r>
          </m:sub>
          <m:sup>
            <m:r>
              <m:rPr>
                <m:nor/>
              </m:rPr>
              <m:t>delta</m:t>
            </m:r>
          </m:sup>
        </m:sSubSup>
      </m:oMath>
      <w:r>
        <w:t xml:space="preserve">. The Monte Carlo error of a variance estimated from </w:t>
      </w:r>
      <m:oMath>
        <m:r>
          <w:rPr>
            <w:rFonts w:ascii="Cambria Math" w:hAnsi="Cambria Math"/>
          </w:rPr>
          <m:t>B</m:t>
        </m:r>
        <m:r>
          <m:rPr>
            <m:sty m:val="p"/>
          </m:rPr>
          <w:rPr>
            <w:rFonts w:ascii="Cambria Math" w:hAnsi="Cambria Math"/>
          </w:rPr>
          <m:t>=</m:t>
        </m:r>
        <m:r>
          <w:rPr>
            <w:rFonts w:ascii="Cambria Math" w:hAnsi="Cambria Math"/>
          </w:rPr>
          <m:t>1000</m:t>
        </m:r>
      </m:oMath>
      <w:r>
        <w:t xml:space="preserve"> samples was about </w:t>
      </w:r>
      <m:oMath>
        <m:rad>
          <m:radPr>
            <m:degHide m:val="1"/>
            <m:ctrlPr>
              <w:rPr>
                <w:rFonts w:ascii="Cambria Math" w:hAnsi="Cambria Math"/>
              </w:rPr>
            </m:ctrlPr>
          </m:radPr>
          <m:deg/>
          <m:e>
            <m:r>
              <w:rPr>
                <w:rFonts w:ascii="Cambria Math" w:hAnsi="Cambria Math"/>
              </w:rPr>
              <m:t>2</m:t>
            </m:r>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1</m:t>
                </m:r>
              </m:e>
            </m:d>
          </m:e>
        </m:rad>
        <m:r>
          <m:rPr>
            <m:sty m:val="p"/>
          </m:rPr>
          <w:rPr>
            <w:rFonts w:ascii="Cambria Math" w:hAnsi="Cambria Math"/>
          </w:rPr>
          <m:t>=</m:t>
        </m:r>
        <m:r>
          <w:rPr>
            <w:rFonts w:ascii="Cambria Math" w:hAnsi="Cambria Math"/>
          </w:rPr>
          <m:t>4.5</m:t>
        </m:r>
        <m:r>
          <m:rPr>
            <m:sty m:val="p"/>
          </m:rPr>
          <w:rPr>
            <w:rFonts w:ascii="Cambria Math" w:hAnsi="Cambria Math"/>
          </w:rPr>
          <m:t>%</m:t>
        </m:r>
      </m:oMath>
      <w:r>
        <w:t xml:space="preserve"> (relative), so ratios within about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of 1 could not be distinguished from this error. Neither bootstrap repeated the imputation of the number of nodes, so, like the delta-method variance, both were conditional on the model specification and the imputed data. The parametric bootstrap additionally assumed that the fitted Cox model and an independent censoring distribution described the data.</w:t>
      </w:r>
    </w:p>
    <w:p w14:paraId="5F61CCF0" w14:textId="77777777" w:rsidR="00AC0E14" w:rsidRDefault="00000000">
      <w:pPr>
        <w:pStyle w:val="BodyText"/>
      </w:pPr>
      <w:r>
        <w:t xml:space="preserve">The two bootstraps and the delta-method variance gave similar effective sample sizes (Figures S11.1 and S11.2). For models A and B, which only contain the binary treatment and adherence variables, the patients formed a few groups and the median ratio of the estimates was between 0.94 and 1.04 at all horizons. For models C and D, the bootstrap estimates followed the line of equality over most of the range. At 5 years, the median ratio </w:t>
      </w:r>
      <m:oMath>
        <m:sSubSup>
          <m:sSubSupPr>
            <m:ctrlPr>
              <w:rPr>
                <w:rFonts w:ascii="Cambria Math" w:hAnsi="Cambria Math"/>
              </w:rPr>
            </m:ctrlPr>
          </m:sSubSupPr>
          <m:e>
            <m:r>
              <w:rPr>
                <w:rFonts w:ascii="Cambria Math" w:hAnsi="Cambria Math"/>
              </w:rPr>
              <m:t>N</m:t>
            </m:r>
          </m:e>
          <m:sub>
            <m:r>
              <m:rPr>
                <m:sty m:val="p"/>
              </m:rPr>
              <w:rPr>
                <w:rFonts w:ascii="Cambria Math" w:hAnsi="Cambria Math"/>
              </w:rPr>
              <m:t>*</m:t>
            </m:r>
          </m:sub>
          <m:sup>
            <m:r>
              <m:rPr>
                <m:nor/>
              </m:rPr>
              <m:t>boot</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m:t>
            </m:r>
          </m:sub>
          <m:sup>
            <m:r>
              <m:rPr>
                <m:nor/>
              </m:rPr>
              <m:t>delta</m:t>
            </m:r>
          </m:sup>
        </m:sSubSup>
      </m:oMath>
      <w:r>
        <w:t xml:space="preserve"> in models C and D was 0.94 and 0.93 for the non-parametric bootstrap, and 0.96 and 0.97 for the parametric bootstrap. The non-parametric bootstrap tended to estimate lower values than the delta-method variance for patients with a low effective sample size, which are patients with less common covariate values. The parametric bootstrap lay closer to the delta-method estimate. A few patients with a high delta-method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had a much lower bootstrap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oMath>
      <w:r>
        <w:t xml:space="preserve"> in models C and D, with both bootstrap methods.</w:t>
      </w:r>
    </w:p>
    <w:p w14:paraId="45FFFB0A" w14:textId="77777777" w:rsidR="00AC0E14" w:rsidRDefault="00000000">
      <w:pPr>
        <w:pStyle w:val="CaptionedFigure"/>
      </w:pPr>
      <w:r>
        <w:rPr>
          <w:noProof/>
        </w:rPr>
        <w:drawing>
          <wp:inline distT="0" distB="0" distL="0" distR="0" wp14:anchorId="1099F8BC" wp14:editId="7DE807BB">
            <wp:extent cx="5334000" cy="4889500"/>
            <wp:effectExtent l="0" t="0" r="0" b="0"/>
            <wp:docPr id="70" name="Picture" descr="Figure S11.1. Effective sample size from the non-parametric bootstrap variance against the effective sample size from the delta-method variance for all patients, at 5 years, for the four models of Figure 3 (log-log scale). Dashed line: equality."/>
            <wp:cNvGraphicFramePr/>
            <a:graphic xmlns:a="http://schemas.openxmlformats.org/drawingml/2006/main">
              <a:graphicData uri="http://schemas.openxmlformats.org/drawingml/2006/picture">
                <pic:pic xmlns:pic="http://schemas.openxmlformats.org/drawingml/2006/picture">
                  <pic:nvPicPr>
                    <pic:cNvPr id="71" name="Picture" descr="supplement_files/figure-docx/s11-fig-np-1.png"/>
                    <pic:cNvPicPr>
                      <a:picLocks noChangeAspect="1" noChangeArrowheads="1"/>
                    </pic:cNvPicPr>
                  </pic:nvPicPr>
                  <pic:blipFill>
                    <a:blip r:embed="rId18"/>
                    <a:stretch>
                      <a:fillRect/>
                    </a:stretch>
                  </pic:blipFill>
                  <pic:spPr bwMode="auto">
                    <a:xfrm>
                      <a:off x="0" y="0"/>
                      <a:ext cx="5334000" cy="4889500"/>
                    </a:xfrm>
                    <a:prstGeom prst="rect">
                      <a:avLst/>
                    </a:prstGeom>
                    <a:noFill/>
                    <a:ln w="9525">
                      <a:noFill/>
                      <a:headEnd/>
                      <a:tailEnd/>
                    </a:ln>
                  </pic:spPr>
                </pic:pic>
              </a:graphicData>
            </a:graphic>
          </wp:inline>
        </w:drawing>
      </w:r>
    </w:p>
    <w:p w14:paraId="084E7F09" w14:textId="77777777" w:rsidR="00AC0E14" w:rsidRDefault="00000000">
      <w:pPr>
        <w:pStyle w:val="ImageCaption"/>
      </w:pPr>
      <w:r>
        <w:t>Figure S11.1. Effective sample size from the non-parametric bootstrap variance against the effective sample size from the delta-method variance for all patients, at 5 years, for the four models of Figure 3 (log-log scale). Dashed line: equality.</w:t>
      </w:r>
    </w:p>
    <w:p w14:paraId="466C2BED" w14:textId="77777777" w:rsidR="00AC0E14" w:rsidRDefault="00000000">
      <w:pPr>
        <w:pStyle w:val="CaptionedFigure"/>
      </w:pPr>
      <w:r>
        <w:rPr>
          <w:noProof/>
        </w:rPr>
        <w:lastRenderedPageBreak/>
        <w:drawing>
          <wp:inline distT="0" distB="0" distL="0" distR="0" wp14:anchorId="497D7D0E" wp14:editId="6E33601E">
            <wp:extent cx="5334000" cy="4889500"/>
            <wp:effectExtent l="0" t="0" r="0" b="0"/>
            <wp:docPr id="73" name="Picture" descr="Figure S11.2. As Figure S11.1, with the variance estimated from the parametric bootstrap."/>
            <wp:cNvGraphicFramePr/>
            <a:graphic xmlns:a="http://schemas.openxmlformats.org/drawingml/2006/main">
              <a:graphicData uri="http://schemas.openxmlformats.org/drawingml/2006/picture">
                <pic:pic xmlns:pic="http://schemas.openxmlformats.org/drawingml/2006/picture">
                  <pic:nvPicPr>
                    <pic:cNvPr id="74" name="Picture" descr="supplement_files/figure-docx/s11-fig-p-1.png"/>
                    <pic:cNvPicPr>
                      <a:picLocks noChangeAspect="1" noChangeArrowheads="1"/>
                    </pic:cNvPicPr>
                  </pic:nvPicPr>
                  <pic:blipFill>
                    <a:blip r:embed="rId19"/>
                    <a:stretch>
                      <a:fillRect/>
                    </a:stretch>
                  </pic:blipFill>
                  <pic:spPr bwMode="auto">
                    <a:xfrm>
                      <a:off x="0" y="0"/>
                      <a:ext cx="5334000" cy="4889500"/>
                    </a:xfrm>
                    <a:prstGeom prst="rect">
                      <a:avLst/>
                    </a:prstGeom>
                    <a:noFill/>
                    <a:ln w="9525">
                      <a:noFill/>
                      <a:headEnd/>
                      <a:tailEnd/>
                    </a:ln>
                  </pic:spPr>
                </pic:pic>
              </a:graphicData>
            </a:graphic>
          </wp:inline>
        </w:drawing>
      </w:r>
    </w:p>
    <w:p w14:paraId="3EDDEAA8" w14:textId="77777777" w:rsidR="00AC0E14" w:rsidRDefault="00000000">
      <w:pPr>
        <w:pStyle w:val="ImageCaption"/>
      </w:pPr>
      <w:r>
        <w:t>Figure S11.2. As Figure S11.1, with the variance estimated from the parametric bootstrap.</w:t>
      </w:r>
    </w:p>
    <w:p w14:paraId="627FF46A" w14:textId="77777777" w:rsidR="00AC0E14" w:rsidRDefault="00000000">
      <w:r>
        <w:br w:type="page"/>
      </w:r>
    </w:p>
    <w:p w14:paraId="61D067FD" w14:textId="77777777" w:rsidR="00AC0E14" w:rsidRDefault="00000000">
      <w:pPr>
        <w:pStyle w:val="Heading1"/>
      </w:pPr>
      <w:bookmarkStart w:id="28" w:name="supplement-12-other-results"/>
      <w:bookmarkStart w:id="29" w:name="_Toc244093848"/>
      <w:bookmarkEnd w:id="26"/>
      <w:r>
        <w:lastRenderedPageBreak/>
        <w:t>Supplement 12: Other results</w:t>
      </w:r>
      <w:bookmarkEnd w:id="29"/>
    </w:p>
    <w:p w14:paraId="13323AD1" w14:textId="77777777" w:rsidR="00AC0E14" w:rsidRDefault="00000000">
      <w:pPr>
        <w:pStyle w:val="FirstParagraph"/>
      </w:pPr>
      <w:r>
        <w:t>We here list some further results to support the reasoning in the main text. The first two results concern effective sample size in linear and logistic regression, which the article takes from earlier work; the third compares the Cox models of Figure 3 with models stratified by treatment.</w:t>
      </w:r>
    </w:p>
    <w:p w14:paraId="0907189B" w14:textId="77777777" w:rsidR="00AC0E14" w:rsidRDefault="00000000">
      <w:pPr>
        <w:pStyle w:val="BodyText"/>
      </w:pPr>
      <w:r>
        <w:rPr>
          <w:b/>
          <w:bCs/>
        </w:rPr>
        <w:t>Mean patient in linear regression.</w:t>
      </w:r>
      <w:r>
        <w:t xml:space="preserve"> In a linear regression model, a patient with the mean value of all predictors has an effective sample size equal to the development sample size. We showed this in a subset of the GUSTO data (1214 patients), with a linear model for the </w:t>
      </w:r>
      <w:r>
        <w:rPr>
          <w:rStyle w:val="VerbatimChar"/>
        </w:rPr>
        <w:t>day30</w:t>
      </w:r>
      <w:r>
        <w:t xml:space="preserve"> outcome based on age and height (centered). Following Thomassen et al.,</w:t>
      </w:r>
      <w:r>
        <w:rPr>
          <w:vertAlign w:val="superscript"/>
        </w:rPr>
        <w:t>5</w:t>
      </w:r>
      <w:r>
        <w:t xml:space="preserve"> the effective sample size of a new patient with covariate vector </w:t>
      </w:r>
      <m:oMath>
        <m:r>
          <m:rPr>
            <m:sty m:val="b"/>
          </m:rPr>
          <w:rPr>
            <w:rFonts w:ascii="Cambria Math" w:hAnsi="Cambria Math"/>
          </w:rPr>
          <m:t>x</m:t>
        </m:r>
      </m:oMath>
      <w:r>
        <w:t xml:space="preserve"> is </w:t>
      </w:r>
      <m:oMath>
        <m:r>
          <w:rPr>
            <w:rFonts w:ascii="Cambria Math" w:hAnsi="Cambria Math"/>
          </w:rPr>
          <m:t>1</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X</m:t>
                </m:r>
              </m:e>
            </m:d>
          </m:e>
          <m:sup>
            <m:r>
              <m:rPr>
                <m:sty m:val="p"/>
              </m:rPr>
              <w:rPr>
                <w:rFonts w:ascii="Cambria Math" w:hAnsi="Cambria Math"/>
              </w:rPr>
              <m:t>-</m:t>
            </m:r>
            <m:r>
              <w:rPr>
                <w:rFonts w:ascii="Cambria Math" w:hAnsi="Cambria Math"/>
              </w:rPr>
              <m:t>1</m:t>
            </m:r>
          </m:sup>
        </m:sSup>
        <m:r>
          <m:rPr>
            <m:sty m:val="b"/>
          </m:rPr>
          <w:rPr>
            <w:rFonts w:ascii="Cambria Math" w:hAnsi="Cambria Math"/>
          </w:rPr>
          <m:t>x</m:t>
        </m:r>
      </m:oMath>
      <w:r>
        <w:t>. For a patient with the mean age and height this was 1214, equal to the development sample size.</w:t>
      </w:r>
    </w:p>
    <w:p w14:paraId="70479A05" w14:textId="77777777" w:rsidR="00AC0E14" w:rsidRDefault="00000000">
      <w:pPr>
        <w:pStyle w:val="BodyText"/>
      </w:pPr>
      <w:r>
        <w:rPr>
          <w:b/>
          <w:bCs/>
        </w:rPr>
        <w:t>Subgroup size as a bound in linear, but not in logistic regression.</w:t>
      </w:r>
      <w:r>
        <w:t xml:space="preserve"> In a linear model with a continuous and a categorical predictor, the effective sample size is bounded by the number of patients in the same category. We illustrated this with a linear model for height based on age and sex in the same data, which contained 317 women. For a woman with the mean age of all patients the effective sample size was 300, below the number of women. For a woman with the mean age of the women it equalled 317, the number of women. In logistic regression for </w:t>
      </w:r>
      <w:r>
        <w:rPr>
          <w:rStyle w:val="VerbatimChar"/>
        </w:rPr>
        <w:t>day30</w:t>
      </w:r>
      <w:r>
        <w:t xml:space="preserve"> on age and sex, this bound did not hold. Without an interaction, the effective sample size was higher for a woman with the mean age of the population (406) than for a woman with the mean age of the women (345), and the first exceeded the number of women. With an age by sex interaction, the effective sample sizes dropped to 194 and 235, and the order was the same as in linear regression: the woman with the mean age of the women had the higher effective sample size. A model that shares information across subgroups (here through the common age effect) can therefore have a higher effective sample size than the subgroup contains. This is the same mechanism as in the Cox model, where the baseline hazard and coefficients are estimated from all patients.</w:t>
      </w:r>
    </w:p>
    <w:p w14:paraId="05EC9600" w14:textId="77777777" w:rsidR="00AC0E14" w:rsidRDefault="00000000">
      <w:pPr>
        <w:pStyle w:val="BodyText"/>
      </w:pPr>
      <w:r>
        <w:rPr>
          <w:b/>
          <w:bCs/>
        </w:rPr>
        <w:t>Stratified Cox models.</w:t>
      </w:r>
      <w:r>
        <w:t xml:space="preserve"> Figure S12.1 repeats Figure 3 of the article with treatment as a stratification variable, which gives each treatment its own baseline hazard, instead of a hazard ratio for treatment. For the model with only treatment, the predictions were identical to the Kaplan-Meier estimates by treatment group. At 5 years, the stratified models gave effective sample sizes similar to those of the models of Figure 3, and slightly lower numbers in the models with more predictors (median 233 versus 251 in the full model).</w:t>
      </w:r>
    </w:p>
    <w:p w14:paraId="60432BEE" w14:textId="77777777" w:rsidR="00AC0E14" w:rsidRDefault="00000000">
      <w:pPr>
        <w:pStyle w:val="CaptionedFigure"/>
      </w:pPr>
      <w:r>
        <w:rPr>
          <w:noProof/>
        </w:rPr>
        <w:lastRenderedPageBreak/>
        <w:drawing>
          <wp:inline distT="0" distB="0" distL="0" distR="0" wp14:anchorId="43FB5D87" wp14:editId="1D3FDCFC">
            <wp:extent cx="5334000" cy="4333875"/>
            <wp:effectExtent l="0" t="0" r="0" b="0"/>
            <wp:docPr id="77" name="Picture" descr="Figure S12.1. Effective sample size of the 5-year survival prediction of all patients in the colon data against the predicted survival probability, for Cox models with treatment as covariate (purple) and stratified by treatment (yellow). (A) treatment only; (B) adds adhesion; (C) adds nodes; (D) adds age."/>
            <wp:cNvGraphicFramePr/>
            <a:graphic xmlns:a="http://schemas.openxmlformats.org/drawingml/2006/main">
              <a:graphicData uri="http://schemas.openxmlformats.org/drawingml/2006/picture">
                <pic:pic xmlns:pic="http://schemas.openxmlformats.org/drawingml/2006/picture">
                  <pic:nvPicPr>
                    <pic:cNvPr id="78" name="Picture" descr="supplement_files/figure-docx/s12-fig-strat-1.png"/>
                    <pic:cNvPicPr>
                      <a:picLocks noChangeAspect="1" noChangeArrowheads="1"/>
                    </pic:cNvPicPr>
                  </pic:nvPicPr>
                  <pic:blipFill>
                    <a:blip r:embed="rId20"/>
                    <a:stretch>
                      <a:fillRect/>
                    </a:stretch>
                  </pic:blipFill>
                  <pic:spPr bwMode="auto">
                    <a:xfrm>
                      <a:off x="0" y="0"/>
                      <a:ext cx="5334000" cy="4333875"/>
                    </a:xfrm>
                    <a:prstGeom prst="rect">
                      <a:avLst/>
                    </a:prstGeom>
                    <a:noFill/>
                    <a:ln w="9525">
                      <a:noFill/>
                      <a:headEnd/>
                      <a:tailEnd/>
                    </a:ln>
                  </pic:spPr>
                </pic:pic>
              </a:graphicData>
            </a:graphic>
          </wp:inline>
        </w:drawing>
      </w:r>
    </w:p>
    <w:p w14:paraId="0BF93091" w14:textId="77777777" w:rsidR="00AC0E14" w:rsidRDefault="00000000">
      <w:pPr>
        <w:pStyle w:val="ImageCaption"/>
      </w:pPr>
      <w:r>
        <w:t>Figure S12.1. Effective sample size of the 5-year survival prediction of all patients in the colon data against the predicted survival probability, for Cox models with treatment as covariate (purple) and stratified by treatment (yellow). (A) treatment only; (B) adds adhesion; (C) adds nodes; (D) adds age.</w:t>
      </w:r>
    </w:p>
    <w:p w14:paraId="71C8DBC0" w14:textId="77777777" w:rsidR="00AC0E14" w:rsidRDefault="00000000">
      <w:r>
        <w:br w:type="page"/>
      </w:r>
    </w:p>
    <w:p w14:paraId="41A353FA" w14:textId="77777777" w:rsidR="00AC0E14" w:rsidRDefault="00000000">
      <w:pPr>
        <w:pStyle w:val="Heading1"/>
      </w:pPr>
      <w:bookmarkStart w:id="30" w:name="references"/>
      <w:bookmarkStart w:id="31" w:name="_Toc244093849"/>
      <w:bookmarkEnd w:id="28"/>
      <w:r>
        <w:lastRenderedPageBreak/>
        <w:t>References</w:t>
      </w:r>
      <w:bookmarkEnd w:id="31"/>
    </w:p>
    <w:p w14:paraId="31D98825" w14:textId="77777777" w:rsidR="00AC0E14" w:rsidRDefault="00000000">
      <w:pPr>
        <w:pStyle w:val="Bibliography"/>
      </w:pPr>
      <w:bookmarkStart w:id="32" w:name="ref-andersen1993"/>
      <w:bookmarkStart w:id="33" w:name="refs"/>
      <w:r>
        <w:t xml:space="preserve">1. </w:t>
      </w:r>
      <w:r>
        <w:tab/>
        <w:t xml:space="preserve">Per Kragh Andersen, Ørnulf Borgan, Richard D. Gill, Niels Keiding. </w:t>
      </w:r>
      <w:r>
        <w:rPr>
          <w:i/>
          <w:iCs/>
        </w:rPr>
        <w:t>Statistical Models Based on Counting Processes</w:t>
      </w:r>
      <w:r>
        <w:t>. Springer US; 1993. doi:</w:t>
      </w:r>
      <w:hyperlink r:id="rId21">
        <w:r>
          <w:rPr>
            <w:rStyle w:val="Hyperlink"/>
          </w:rPr>
          <w:t>10.1007/978-1-4612-4348-9</w:t>
        </w:r>
      </w:hyperlink>
    </w:p>
    <w:p w14:paraId="0148C39E" w14:textId="77777777" w:rsidR="00AC0E14" w:rsidRDefault="00000000">
      <w:pPr>
        <w:pStyle w:val="Bibliography"/>
      </w:pPr>
      <w:bookmarkStart w:id="34" w:name="ref-steyerberg2026"/>
      <w:bookmarkEnd w:id="32"/>
      <w:r>
        <w:t xml:space="preserve">2. </w:t>
      </w:r>
      <w:r>
        <w:tab/>
        <w:t xml:space="preserve">Ewout Steyerberg, Toby Hackmann, Ben van Calster, Maarten van Smeden, Laure Wynants. Recent criteria and simple rules agreed often on required sample size for developed clinical prediction models. </w:t>
      </w:r>
      <w:r>
        <w:rPr>
          <w:i/>
          <w:iCs/>
        </w:rPr>
        <w:t>Journal of Clinical Epidemiology</w:t>
      </w:r>
      <w:r>
        <w:t>. 2026;199:112461. doi:</w:t>
      </w:r>
      <w:hyperlink r:id="rId22">
        <w:r>
          <w:rPr>
            <w:rStyle w:val="Hyperlink"/>
          </w:rPr>
          <w:t>10.1016/j.jclinepi.2026.112461</w:t>
        </w:r>
      </w:hyperlink>
    </w:p>
    <w:p w14:paraId="5F854582" w14:textId="77777777" w:rsidR="00AC0E14" w:rsidRDefault="00000000">
      <w:pPr>
        <w:pStyle w:val="Bibliography"/>
      </w:pPr>
      <w:bookmarkStart w:id="35" w:name="ref-morris2019"/>
      <w:bookmarkEnd w:id="34"/>
      <w:r>
        <w:t xml:space="preserve">3. </w:t>
      </w:r>
      <w:r>
        <w:tab/>
        <w:t>Tim P Morris, Ian R White, Michael J Crowther. Using simulation studies to evaluate statistical methods. Published online 2019. doi:</w:t>
      </w:r>
      <w:hyperlink r:id="rId23">
        <w:r>
          <w:rPr>
            <w:rStyle w:val="Hyperlink"/>
          </w:rPr>
          <w:t>10.1002/sim.8086</w:t>
        </w:r>
      </w:hyperlink>
    </w:p>
    <w:p w14:paraId="16C88683" w14:textId="77777777" w:rsidR="00AC0E14" w:rsidRDefault="00000000">
      <w:pPr>
        <w:pStyle w:val="Bibliography"/>
      </w:pPr>
      <w:bookmarkStart w:id="36" w:name="ref-thomassen2025"/>
      <w:bookmarkEnd w:id="35"/>
      <w:r>
        <w:t xml:space="preserve">4. </w:t>
      </w:r>
      <w:r>
        <w:tab/>
        <w:t xml:space="preserve">Doranne Thomassen, Toby Hackmann, Jelle Goeman, Ewout Steyerberg, Saskia Le Cessie. Effective sample size for individual risk predictions: Quantifying uncertainty in machine learning models. </w:t>
      </w:r>
      <w:r>
        <w:rPr>
          <w:i/>
          <w:iCs/>
        </w:rPr>
        <w:t>The Lancet Digital Health</w:t>
      </w:r>
      <w:r>
        <w:t>. Published online November 2025:100911. doi:</w:t>
      </w:r>
      <w:hyperlink r:id="rId24">
        <w:r>
          <w:rPr>
            <w:rStyle w:val="Hyperlink"/>
          </w:rPr>
          <w:t>10.1016/j.landig.2025.100911</w:t>
        </w:r>
      </w:hyperlink>
    </w:p>
    <w:p w14:paraId="25DD1F51" w14:textId="77777777" w:rsidR="00AC0E14" w:rsidRDefault="00000000">
      <w:pPr>
        <w:pStyle w:val="Bibliography"/>
      </w:pPr>
      <w:bookmarkStart w:id="37" w:name="ref-thomassen2024"/>
      <w:bookmarkEnd w:id="36"/>
      <w:r>
        <w:t xml:space="preserve">5. </w:t>
      </w:r>
      <w:r>
        <w:tab/>
        <w:t xml:space="preserve">Doranne Thomassen, Saskia le Cessie, Hans C. van Houwelingen, Ewout W. Steyerberg. Effective sample size: A measure of individual uncertainty in predictions. </w:t>
      </w:r>
      <w:r>
        <w:rPr>
          <w:i/>
          <w:iCs/>
        </w:rPr>
        <w:t>Statistics in Medicine</w:t>
      </w:r>
      <w:r>
        <w:t>. 2024;43(7):1384-1396. doi:</w:t>
      </w:r>
      <w:hyperlink r:id="rId25">
        <w:r>
          <w:rPr>
            <w:rStyle w:val="Hyperlink"/>
          </w:rPr>
          <w:t>10.1002/sim.10018</w:t>
        </w:r>
      </w:hyperlink>
      <w:bookmarkEnd w:id="30"/>
      <w:bookmarkEnd w:id="33"/>
      <w:bookmarkEnd w:id="37"/>
    </w:p>
    <w:sectPr w:rsidR="00AC0E14">
      <w:footerReference w:type="default" r:id="rId26"/>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1DD39" w14:textId="77777777" w:rsidR="00F16283" w:rsidRDefault="00F16283" w:rsidP="003B7A36">
      <w:pPr>
        <w:spacing w:after="0"/>
      </w:pPr>
      <w:r>
        <w:separator/>
      </w:r>
    </w:p>
  </w:endnote>
  <w:endnote w:type="continuationSeparator" w:id="0">
    <w:p w14:paraId="4AC0E3AA" w14:textId="77777777" w:rsidR="00F16283" w:rsidRDefault="00F16283" w:rsidP="003B7A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414099"/>
      <w:docPartObj>
        <w:docPartGallery w:val="Page Numbers (Bottom of Page)"/>
        <w:docPartUnique/>
      </w:docPartObj>
    </w:sdtPr>
    <w:sdtEndPr>
      <w:rPr>
        <w:noProof/>
      </w:rPr>
    </w:sdtEndPr>
    <w:sdtContent>
      <w:p w14:paraId="15326717" w14:textId="6F63D8A6" w:rsidR="003B7A36" w:rsidRDefault="003B7A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D55DD4" w14:textId="77777777" w:rsidR="003B7A36" w:rsidRDefault="003B7A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5E0A" w14:textId="77777777" w:rsidR="00F16283" w:rsidRDefault="00F16283" w:rsidP="003B7A36">
      <w:pPr>
        <w:spacing w:after="0"/>
      </w:pPr>
      <w:r>
        <w:separator/>
      </w:r>
    </w:p>
  </w:footnote>
  <w:footnote w:type="continuationSeparator" w:id="0">
    <w:p w14:paraId="6931EC0A" w14:textId="77777777" w:rsidR="00F16283" w:rsidRDefault="00F16283" w:rsidP="003B7A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4A629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A9CEF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73332290">
    <w:abstractNumId w:val="0"/>
  </w:num>
  <w:num w:numId="2" w16cid:durableId="1937350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2676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C0E14"/>
    <w:rsid w:val="001D4334"/>
    <w:rsid w:val="003B7A36"/>
    <w:rsid w:val="00AC0E14"/>
    <w:rsid w:val="00F162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85177"/>
  <w15:docId w15:val="{9D4D5A0E-F6AE-4860-8873-A8B9A8276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3B7A36"/>
    <w:pPr>
      <w:spacing w:after="100"/>
    </w:pPr>
  </w:style>
  <w:style w:type="paragraph" w:styleId="Header">
    <w:name w:val="header"/>
    <w:basedOn w:val="Normal"/>
    <w:link w:val="HeaderChar"/>
    <w:rsid w:val="003B7A36"/>
    <w:pPr>
      <w:tabs>
        <w:tab w:val="center" w:pos="4513"/>
        <w:tab w:val="right" w:pos="9026"/>
      </w:tabs>
      <w:spacing w:after="0"/>
    </w:pPr>
  </w:style>
  <w:style w:type="character" w:customStyle="1" w:styleId="HeaderChar">
    <w:name w:val="Header Char"/>
    <w:basedOn w:val="DefaultParagraphFont"/>
    <w:link w:val="Header"/>
    <w:rsid w:val="003B7A36"/>
  </w:style>
  <w:style w:type="paragraph" w:styleId="Footer">
    <w:name w:val="footer"/>
    <w:basedOn w:val="Normal"/>
    <w:link w:val="FooterChar"/>
    <w:uiPriority w:val="99"/>
    <w:rsid w:val="003B7A36"/>
    <w:pPr>
      <w:tabs>
        <w:tab w:val="center" w:pos="4513"/>
        <w:tab w:val="right" w:pos="9026"/>
      </w:tabs>
      <w:spacing w:after="0"/>
    </w:pPr>
  </w:style>
  <w:style w:type="character" w:customStyle="1" w:styleId="FooterChar">
    <w:name w:val="Footer Char"/>
    <w:basedOn w:val="DefaultParagraphFont"/>
    <w:link w:val="Footer"/>
    <w:uiPriority w:val="99"/>
    <w:rsid w:val="003B7A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doi.org/10.1007/978-1-4612-4348-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1002/sim.10018"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landig.2025.100911"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002/sim.8086"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16/j.jclinepi.2026.112461"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34</Pages>
  <Words>7574</Words>
  <Characters>43172</Characters>
  <Application>Microsoft Office Word</Application>
  <DocSecurity>0</DocSecurity>
  <Lines>359</Lines>
  <Paragraphs>101</Paragraphs>
  <ScaleCrop>false</ScaleCrop>
  <Company/>
  <LinksUpToDate>false</LinksUpToDate>
  <CharactersWithSpaces>50645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cp:lastModifiedBy>Hackmann, Toby (MSTAT - LUMC)</cp:lastModifiedBy>
  <cp:revision>3</cp:revision>
  <dcterms:created xsi:type="dcterms:W3CDTF">2026-10-28T14:27:00Z</dcterms:created>
  <dcterms:modified xsi:type="dcterms:W3CDTF">2026-10-28T14:32:00Z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american-medical-association.csl</vt:lpwstr>
  </property>
  <property fmtid="{D5CDD505-2E9C-101B-9397-08002B2CF9AE}" pid="5" name="date">
    <vt:lpwstr>2026-10-28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Effective sample size for predictions based on the Cox survival model: insights into individual uncertainty</vt:lpwstr>
  </property>
  <property fmtid="{D5CDD505-2E9C-101B-9397-08002B2CF9AE}" pid="12" name="toc-title">
    <vt:lpwstr>Contents</vt:lpwstr>
  </property>
</Properties>
</file>