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3.png" ContentType="image/png"/>
  <Override PartName="/word/media/rId39.png" ContentType="image/png"/>
  <Override PartName="/word/media/rId42.png" ContentType="image/png"/>
  <Override PartName="/word/media/rId45.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w:t>
      </w:r>
    </w:p>
    <w:bookmarkStart w:id="20" w:name="supplement-1-4d-picture-collaborators"/>
    <w:p>
      <w:pPr>
        <w:pStyle w:val="Heading1"/>
      </w:pPr>
      <w:r>
        <w:t xml:space="preserve">1. Supplement 1: 4D PICTURE Collaborators</w:t>
      </w:r>
    </w:p>
    <w:p>
      <w:pPr>
        <w:pStyle w:val="FirstParagraph"/>
      </w:pPr>
      <w:r>
        <w:t xml:space="preserve">The scientific members of the 4D PICTURE consortium who are not authors on this manuscript. Names and affiliations are as follows:</w:t>
      </w:r>
    </w:p>
    <w:p>
      <w:pPr>
        <w:pStyle w:val="BodyText"/>
      </w:pPr>
      <w:r>
        <w:t xml:space="preserve">Gaby Sroczynski</w:t>
      </w:r>
      <m:oMath>
        <m:sSup>
          <m:e>
            <m:r>
              <m:t>​</m:t>
            </m:r>
          </m:e>
          <m:sup>
            <m:r>
              <m:t>1</m:t>
            </m:r>
            <m:r>
              <m:rPr>
                <m:sty m:val="p"/>
              </m:rPr>
              <m:t>,</m:t>
            </m:r>
            <m:r>
              <m:t>2</m:t>
            </m:r>
          </m:sup>
        </m:sSup>
      </m:oMath>
      <w:r>
        <w:t xml:space="preserve">, Uwe Siebert</w:t>
      </w:r>
      <m:oMath>
        <m:sSup>
          <m:e>
            <m:r>
              <m:t>​</m:t>
            </m:r>
          </m:e>
          <m:sup>
            <m:r>
              <m:t>1</m:t>
            </m:r>
            <m:r>
              <m:rPr>
                <m:sty m:val="p"/>
              </m:rPr>
              <m:t>,</m:t>
            </m:r>
            <m:r>
              <m:t>2</m:t>
            </m:r>
            <m:r>
              <m:rPr>
                <m:sty m:val="p"/>
              </m:rPr>
              <m:t>,</m:t>
            </m:r>
            <m:r>
              <m:t>3</m:t>
            </m:r>
            <m:r>
              <m:rPr>
                <m:sty m:val="p"/>
              </m:rPr>
              <m:t>,</m:t>
            </m:r>
            <m:r>
              <m:t>4</m:t>
            </m:r>
          </m:sup>
        </m:sSup>
      </m:oMath>
      <w:r>
        <w:t xml:space="preserve">, Roberto Pazo-Cid</w:t>
      </w:r>
      <m:oMath>
        <m:sSup>
          <m:e>
            <m:r>
              <m:t>​</m:t>
            </m:r>
          </m:e>
          <m:sup>
            <m:r>
              <m:t>5</m:t>
            </m:r>
            <m:r>
              <m:rPr>
                <m:sty m:val="p"/>
              </m:rPr>
              <m:t>,</m:t>
            </m:r>
            <m:r>
              <m:t>6</m:t>
            </m:r>
            <m:r>
              <m:rPr>
                <m:sty m:val="p"/>
              </m:rPr>
              <m:t>,</m:t>
            </m:r>
            <m:r>
              <m:t>7</m:t>
            </m:r>
          </m:sup>
        </m:sSup>
      </m:oMath>
      <w:r>
        <w:t xml:space="preserve">, Lára R. Hallsson</w:t>
      </w:r>
      <m:oMath>
        <m:sSup>
          <m:e>
            <m:r>
              <m:t>​</m:t>
            </m:r>
          </m:e>
          <m:sup>
            <m:r>
              <m:t>1</m:t>
            </m:r>
            <m:r>
              <m:rPr>
                <m:sty m:val="p"/>
              </m:rPr>
              <m:t>,</m:t>
            </m:r>
            <m:r>
              <m:t>2</m:t>
            </m:r>
          </m:sup>
        </m:sSup>
      </m:oMath>
      <w:r>
        <w:t xml:space="preserve">, Michel W. Wouters</w:t>
      </w:r>
      <m:oMath>
        <m:sSup>
          <m:e>
            <m:r>
              <m:t>​</m:t>
            </m:r>
          </m:e>
          <m:sup>
            <m:r>
              <m:t>8</m:t>
            </m:r>
          </m:sup>
        </m:sSup>
      </m:oMath>
      <w:r>
        <w:t xml:space="preserve">, Iñaki Alvarez Busto</w:t>
      </w:r>
      <m:oMath>
        <m:sSup>
          <m:e>
            <m:r>
              <m:t>​</m:t>
            </m:r>
          </m:e>
          <m:sup>
            <m:r>
              <m:t>5</m:t>
            </m:r>
            <m:r>
              <m:rPr>
                <m:sty m:val="p"/>
              </m:rPr>
              <m:t>,</m:t>
            </m:r>
            <m:r>
              <m:t>6</m:t>
            </m:r>
            <m:r>
              <m:rPr>
                <m:sty m:val="p"/>
              </m:rPr>
              <m:t>,</m:t>
            </m:r>
            <m:r>
              <m:t>7</m:t>
            </m:r>
          </m:sup>
        </m:sSup>
      </m:oMath>
      <w:r>
        <w:t xml:space="preserve">, Lennart Koch</w:t>
      </w:r>
      <m:oMath>
        <m:sSup>
          <m:e>
            <m:r>
              <m:t>​</m:t>
            </m:r>
          </m:e>
          <m:sup>
            <m:r>
              <m:t>1</m:t>
            </m:r>
            <m:r>
              <m:rPr>
                <m:sty m:val="p"/>
              </m:rPr>
              <m:t>,</m:t>
            </m:r>
            <m:r>
              <m:t>2</m:t>
            </m:r>
          </m:sup>
        </m:sSup>
      </m:oMath>
      <w:r>
        <w:t xml:space="preserve">, Mette Byg Josefsen</w:t>
      </w:r>
      <m:oMath>
        <m:sSup>
          <m:e>
            <m:r>
              <m:t>​</m:t>
            </m:r>
          </m:e>
          <m:sup>
            <m:r>
              <m:t>9</m:t>
            </m:r>
          </m:sup>
        </m:sSup>
      </m:oMath>
      <w:r>
        <w:t xml:space="preserve">, Yassin Engelberts</w:t>
      </w:r>
      <m:oMath>
        <m:sSup>
          <m:e>
            <m:r>
              <m:t>​</m:t>
            </m:r>
          </m:e>
          <m:sup>
            <m:r>
              <m:t>10</m:t>
            </m:r>
          </m:sup>
        </m:sSup>
      </m:oMath>
      <w:r>
        <w:t xml:space="preserve">, Yufeng Liu</w:t>
      </w:r>
      <m:oMath>
        <m:sSup>
          <m:e>
            <m:r>
              <m:t>​</m:t>
            </m:r>
          </m:e>
          <m:sup>
            <m:r>
              <m:t>11</m:t>
            </m:r>
          </m:sup>
        </m:sSup>
      </m:oMath>
      <w:r>
        <w:t xml:space="preserve">, Claudia Cruz Oliveira</w:t>
      </w:r>
      <m:oMath>
        <m:sSup>
          <m:e>
            <m:r>
              <m:t>​</m:t>
            </m:r>
          </m:e>
          <m:sup>
            <m:r>
              <m:t>10</m:t>
            </m:r>
          </m:sup>
        </m:sSup>
      </m:oMath>
      <w:r>
        <w:t xml:space="preserve">, Elfi M. Verheul</w:t>
      </w:r>
      <m:oMath>
        <m:sSup>
          <m:e>
            <m:r>
              <m:t>​</m:t>
            </m:r>
          </m:e>
          <m:sup>
            <m:r>
              <m:t>10</m:t>
            </m:r>
          </m:sup>
        </m:sSup>
      </m:oMath>
      <w:r>
        <w:t xml:space="preserve">, Barbara Perić</w:t>
      </w:r>
      <m:oMath>
        <m:sSup>
          <m:e>
            <m:r>
              <m:t>​</m:t>
            </m:r>
          </m:e>
          <m:sup>
            <m:r>
              <m:t>12</m:t>
            </m:r>
          </m:sup>
        </m:sSup>
      </m:oMath>
      <w:r>
        <w:t xml:space="preserve">, Anne Stiggelbout</w:t>
      </w:r>
      <m:oMath>
        <m:sSup>
          <m:e>
            <m:r>
              <m:t>​</m:t>
            </m:r>
          </m:e>
          <m:sup>
            <m:r>
              <m:t>8</m:t>
            </m:r>
          </m:sup>
        </m:sSup>
      </m:oMath>
      <w:r>
        <w:t xml:space="preserve">, Ida Korfage</w:t>
      </w:r>
      <m:oMath>
        <m:sSup>
          <m:e>
            <m:r>
              <m:t>​</m:t>
            </m:r>
          </m:e>
          <m:sup>
            <m:r>
              <m:t>10</m:t>
            </m:r>
          </m:sup>
        </m:sSup>
      </m:oMath>
      <w:r>
        <w:t xml:space="preserve">, Kasper Frank</w:t>
      </w:r>
      <m:oMath>
        <m:sSup>
          <m:e>
            <m:r>
              <m:t>​</m:t>
            </m:r>
          </m:e>
          <m:sup>
            <m:r>
              <m:t>9</m:t>
            </m:r>
          </m:sup>
        </m:sSup>
      </m:oMath>
      <w:r>
        <w:t xml:space="preserve">, Tamara Wit</w:t>
      </w:r>
      <m:oMath>
        <m:sSup>
          <m:e>
            <m:r>
              <m:t>​</m:t>
            </m:r>
          </m:e>
          <m:sup>
            <m:r>
              <m:t>8</m:t>
            </m:r>
          </m:sup>
        </m:sSup>
      </m:oMath>
      <w:r>
        <w:t xml:space="preserve">, Amara Callistus Nwosu</w:t>
      </w:r>
      <m:oMath>
        <m:sSup>
          <m:e>
            <m:r>
              <m:t>​</m:t>
            </m:r>
          </m:e>
          <m:sup>
            <m:r>
              <m:t>13</m:t>
            </m:r>
            <m:r>
              <m:rPr>
                <m:sty m:val="p"/>
              </m:rPr>
              <m:t>,</m:t>
            </m:r>
            <m:r>
              <m:t>14</m:t>
            </m:r>
          </m:sup>
        </m:sSup>
      </m:oMath>
      <w:r>
        <w:t xml:space="preserve">, Ellen Kapiteijn</w:t>
      </w:r>
      <m:oMath>
        <m:sSup>
          <m:e>
            <m:r>
              <m:t>​</m:t>
            </m:r>
          </m:e>
          <m:sup>
            <m:r>
              <m:t>15</m:t>
            </m:r>
          </m:sup>
        </m:sSup>
      </m:oMath>
      <w:r>
        <w:t xml:space="preserve">, Frank Doornkamp</w:t>
      </w:r>
      <m:oMath>
        <m:sSup>
          <m:e>
            <m:r>
              <m:t>​</m:t>
            </m:r>
          </m:e>
          <m:sup>
            <m:r>
              <m:t>16</m:t>
            </m:r>
          </m:sup>
        </m:sSup>
      </m:oMath>
      <w:r>
        <w:t xml:space="preserve">, Judith Rietjens</w:t>
      </w:r>
      <m:oMath>
        <m:sSup>
          <m:e>
            <m:r>
              <m:t>​</m:t>
            </m:r>
          </m:e>
          <m:sup>
            <m:r>
              <m:t>10</m:t>
            </m:r>
            <m:r>
              <m:rPr>
                <m:sty m:val="p"/>
              </m:rPr>
              <m:t>,</m:t>
            </m:r>
            <m:r>
              <m:t>17</m:t>
            </m:r>
          </m:sup>
        </m:sSup>
      </m:oMath>
      <w:r>
        <w:t xml:space="preserve">, Suzan Verberne</w:t>
      </w:r>
      <m:oMath>
        <m:sSup>
          <m:e>
            <m:r>
              <m:t>​</m:t>
            </m:r>
          </m:e>
          <m:sup>
            <m:r>
              <m:t>18</m:t>
            </m:r>
          </m:sup>
        </m:sSup>
      </m:oMath>
      <w:r>
        <w:t xml:space="preserve">, Carlos Romero-Piqueras</w:t>
      </w:r>
      <m:oMath>
        <m:sSup>
          <m:e>
            <m:r>
              <m:t>​</m:t>
            </m:r>
          </m:e>
          <m:sup>
            <m:r>
              <m:t>19</m:t>
            </m:r>
          </m:sup>
        </m:sSup>
      </m:oMath>
    </w:p>
    <w:p>
      <w:pPr>
        <w:pStyle w:val="BodyText"/>
      </w:pPr>
      <w:r>
        <w:rPr>
          <w:vertAlign w:val="superscript"/>
        </w:rPr>
        <w:t xml:space="preserve">1</w:t>
      </w:r>
      <w:r>
        <w:t xml:space="preserve"> </w:t>
      </w:r>
      <w:r>
        <w:t xml:space="preserve">Institute of Public Health, Medical Decision Making and Health Technology Assessment</w:t>
      </w:r>
    </w:p>
    <w:p>
      <w:pPr>
        <w:pStyle w:val="BodyText"/>
      </w:pPr>
      <w:r>
        <w:rPr>
          <w:vertAlign w:val="superscript"/>
        </w:rPr>
        <w:t xml:space="preserve">2</w:t>
      </w:r>
      <w:r>
        <w:t xml:space="preserve"> </w:t>
      </w:r>
      <w:r>
        <w:t xml:space="preserve">Department of Public Health, Health Services Research and Health Technology Assessment, UMIT TIROL – University for Health Sciences and Technology, Hall in Tirol, Austria</w:t>
      </w:r>
    </w:p>
    <w:p>
      <w:pPr>
        <w:pStyle w:val="BodyText"/>
      </w:pPr>
      <w:r>
        <w:rPr>
          <w:vertAlign w:val="superscript"/>
        </w:rPr>
        <w:t xml:space="preserve">3</w:t>
      </w:r>
      <w:r>
        <w:t xml:space="preserve"> </w:t>
      </w:r>
      <w:r>
        <w:t xml:space="preserve">Center for Health Decision Science and Departments of Epidemiology and Health Policy &amp; Management, Harvard T.H. Chan School of Public Health</w:t>
      </w:r>
    </w:p>
    <w:p>
      <w:pPr>
        <w:pStyle w:val="BodyText"/>
      </w:pPr>
      <w:r>
        <w:rPr>
          <w:vertAlign w:val="superscript"/>
        </w:rPr>
        <w:t xml:space="preserve">4</w:t>
      </w:r>
      <w:r>
        <w:t xml:space="preserve"> </w:t>
      </w:r>
      <w:r>
        <w:t xml:space="preserve">Institute for Technology Assessment, Department of Radiology, Massachusetts General Hospital, Harvard Medical School, Boston, MA, USA</w:t>
      </w:r>
    </w:p>
    <w:p>
      <w:pPr>
        <w:pStyle w:val="BodyText"/>
      </w:pPr>
      <w:r>
        <w:rPr>
          <w:vertAlign w:val="superscript"/>
        </w:rPr>
        <w:t xml:space="preserve">5</w:t>
      </w:r>
      <w:r>
        <w:t xml:space="preserve"> </w:t>
      </w:r>
      <w:r>
        <w:t xml:space="preserve">Department of Medical Oncology, Miguel Servet University Hospital, Facultad de Medicina. Universidad de Zaragoza, Instituto Investigación Sanitaria Aragón, Zaragoza, Spain</w:t>
      </w:r>
    </w:p>
    <w:p>
      <w:pPr>
        <w:pStyle w:val="BodyText"/>
      </w:pPr>
      <w:r>
        <w:rPr>
          <w:vertAlign w:val="superscript"/>
        </w:rPr>
        <w:t xml:space="preserve">6</w:t>
      </w:r>
      <w:r>
        <w:t xml:space="preserve"> </w:t>
      </w:r>
      <w:r>
        <w:t xml:space="preserve">Medical Oncology, Instituto de Investigación Sanitaria de Aragón (IIS-A)</w:t>
      </w:r>
    </w:p>
    <w:p>
      <w:pPr>
        <w:pStyle w:val="BodyText"/>
      </w:pPr>
      <w:r>
        <w:rPr>
          <w:vertAlign w:val="superscript"/>
        </w:rPr>
        <w:t xml:space="preserve">7</w:t>
      </w:r>
      <w:r>
        <w:t xml:space="preserve"> </w:t>
      </w:r>
      <w:r>
        <w:t xml:space="preserve">Hospital Universitario Miguel Servet, Zaragoza, Spain</w:t>
      </w:r>
    </w:p>
    <w:p>
      <w:pPr>
        <w:pStyle w:val="BodyText"/>
      </w:pPr>
      <w:r>
        <w:rPr>
          <w:vertAlign w:val="superscript"/>
        </w:rPr>
        <w:t xml:space="preserve">8</w:t>
      </w:r>
      <w:r>
        <w:t xml:space="preserve"> </w:t>
      </w:r>
      <w:r>
        <w:t xml:space="preserve">Medical Decision Making, Department of Biomedical Data Sciences, Leiden University Medical Center, Leiden, the Netherlands</w:t>
      </w:r>
    </w:p>
    <w:p>
      <w:pPr>
        <w:pStyle w:val="BodyText"/>
      </w:pPr>
      <w:r>
        <w:rPr>
          <w:vertAlign w:val="superscript"/>
        </w:rPr>
        <w:t xml:space="preserve">9</w:t>
      </w:r>
      <w:r>
        <w:t xml:space="preserve"> </w:t>
      </w:r>
      <w:r>
        <w:t xml:space="preserve">Center for Shared Decision Making Vejle/Lillebaelt University Hospital of Southern Denmark</w:t>
      </w:r>
    </w:p>
    <w:p>
      <w:pPr>
        <w:pStyle w:val="BodyText"/>
      </w:pPr>
      <w:r>
        <w:rPr>
          <w:vertAlign w:val="superscript"/>
        </w:rPr>
        <w:t xml:space="preserve">10</w:t>
      </w:r>
      <w:r>
        <w:t xml:space="preserve"> </w:t>
      </w:r>
      <w:r>
        <w:t xml:space="preserve">Department of Public Health, Erasmus MC, University Medical Center Rotterdam, Rotterdam, the Netherlands</w:t>
      </w:r>
    </w:p>
    <w:p>
      <w:pPr>
        <w:pStyle w:val="BodyText"/>
      </w:pPr>
      <w:r>
        <w:rPr>
          <w:vertAlign w:val="superscript"/>
        </w:rPr>
        <w:t xml:space="preserve">11</w:t>
      </w:r>
      <w:r>
        <w:t xml:space="preserve"> </w:t>
      </w:r>
      <w:r>
        <w:t xml:space="preserve">Department of Linguistics and English Language, Lancaster University, Lancaster, United Kingdom</w:t>
      </w:r>
    </w:p>
    <w:p>
      <w:pPr>
        <w:pStyle w:val="BodyText"/>
      </w:pPr>
      <w:r>
        <w:rPr>
          <w:vertAlign w:val="superscript"/>
        </w:rPr>
        <w:t xml:space="preserve">12</w:t>
      </w:r>
      <w:r>
        <w:t xml:space="preserve"> </w:t>
      </w:r>
      <w:r>
        <w:t xml:space="preserve">Institute of Oncology Ljubljana, Medical faculty Ljubljana, University of Ljubljana, Ljubljana, Slovenia</w:t>
      </w:r>
    </w:p>
    <w:p>
      <w:pPr>
        <w:pStyle w:val="BodyText"/>
      </w:pPr>
      <w:r>
        <w:rPr>
          <w:vertAlign w:val="superscript"/>
        </w:rPr>
        <w:t xml:space="preserve">13</w:t>
      </w:r>
      <w:r>
        <w:t xml:space="preserve"> </w:t>
      </w:r>
      <w:r>
        <w:t xml:space="preserve">International Observatory on End of Life Care, Lancaster University, Lancaster, United Kingdom</w:t>
      </w:r>
    </w:p>
    <w:p>
      <w:pPr>
        <w:pStyle w:val="BodyText"/>
      </w:pPr>
      <w:r>
        <w:rPr>
          <w:vertAlign w:val="superscript"/>
        </w:rPr>
        <w:t xml:space="preserve">14</w:t>
      </w:r>
      <w:r>
        <w:t xml:space="preserve"> </w:t>
      </w:r>
      <w:r>
        <w:t xml:space="preserve">Marie Curie North West, Liverpool, United Kingdom</w:t>
      </w:r>
    </w:p>
    <w:p>
      <w:pPr>
        <w:pStyle w:val="BodyText"/>
      </w:pPr>
      <w:r>
        <w:rPr>
          <w:vertAlign w:val="superscript"/>
        </w:rPr>
        <w:t xml:space="preserve">15</w:t>
      </w:r>
      <w:r>
        <w:t xml:space="preserve"> </w:t>
      </w:r>
      <w:r>
        <w:t xml:space="preserve">Department of Medical Oncology, Leiden University Medical Center, Leiden, the Netherlands</w:t>
      </w:r>
    </w:p>
    <w:p>
      <w:pPr>
        <w:pStyle w:val="BodyText"/>
      </w:pPr>
      <w:r>
        <w:rPr>
          <w:vertAlign w:val="superscript"/>
        </w:rPr>
        <w:t xml:space="preserve">16</w:t>
      </w:r>
      <w:r>
        <w:t xml:space="preserve"> </w:t>
      </w:r>
      <w:r>
        <w:t xml:space="preserve">Medical Statistics, Department of Biomedical Data Sciences, Leiden University Medical Center, Leiden, the Netherlands</w:t>
      </w:r>
    </w:p>
    <w:p>
      <w:pPr>
        <w:pStyle w:val="BodyText"/>
      </w:pPr>
      <w:r>
        <w:rPr>
          <w:vertAlign w:val="superscript"/>
        </w:rPr>
        <w:t xml:space="preserve">17</w:t>
      </w:r>
      <w:r>
        <w:t xml:space="preserve"> </w:t>
      </w:r>
      <w:r>
        <w:t xml:space="preserve">Department of Design, Organisation and Strategy, Faculty of Industrial Design Engineering, Delft University of Technology, Delft, the Netherlands</w:t>
      </w:r>
    </w:p>
    <w:p>
      <w:pPr>
        <w:pStyle w:val="BodyText"/>
      </w:pPr>
      <w:r>
        <w:rPr>
          <w:vertAlign w:val="superscript"/>
        </w:rPr>
        <w:t xml:space="preserve">18</w:t>
      </w:r>
      <w:r>
        <w:t xml:space="preserve"> </w:t>
      </w:r>
      <w:r>
        <w:t xml:space="preserve">Leiden Institute of Advanced Computer Science, Leiden University, Leiden, the Netherlands</w:t>
      </w:r>
    </w:p>
    <w:p>
      <w:pPr>
        <w:pStyle w:val="BodyText"/>
      </w:pPr>
      <w:r>
        <w:rPr>
          <w:vertAlign w:val="superscript"/>
        </w:rPr>
        <w:t xml:space="preserve">19</w:t>
      </w:r>
      <w:r>
        <w:t xml:space="preserve"> </w:t>
      </w:r>
      <w:r>
        <w:t xml:space="preserve">Fractal Strategy, Zaragoza, Spain</w:t>
      </w:r>
    </w:p>
    <w:bookmarkEnd w:id="20"/>
    <w:bookmarkStart w:id="21" w:name="X52b80bdb6621d0b9ca07c319d589edda4ab34c8"/>
    <w:p>
      <w:pPr>
        <w:pStyle w:val="Heading1"/>
      </w:pPr>
      <w:r>
        <w:t xml:space="preserve">2. Supplement 2: Variance of the Cox model prediction</w:t>
      </w:r>
    </w:p>
    <w:p>
      <w:pPr>
        <w:pStyle w:val="FirstParagraph"/>
      </w:pPr>
      <w:r>
        <w:t xml:space="preserve">In the article, we assume the Cox model variance is estimated using the delta method. We use the derivation from the book</w:t>
      </w:r>
      <w:r>
        <w:t xml:space="preserve"> </w:t>
      </w:r>
      <w:r>
        <w:t xml:space="preserve"> </w:t>
      </w:r>
      <w:r>
        <w:t xml:space="preserve">by Andersen, Borgan, Gill and Keiding. Using this method, the variance of a Cox model prediction for the new patient is:</w:t>
      </w:r>
    </w:p>
    <w:p>
      <w:pPr>
        <w:pStyle w:val="BodyText"/>
      </w:pPr>
      <m:oMathPara>
        <m:oMathParaPr>
          <m:jc m:val="center"/>
        </m:oMathParaPr>
        <m:oMath>
          <m:sSub>
            <m:e>
              <m:r>
                <m:t>V</m:t>
              </m:r>
            </m:e>
            <m:sub>
              <m:r>
                <m:t>C</m:t>
              </m:r>
              <m:r>
                <m:t>o</m:t>
              </m:r>
              <m:r>
                <m:t>x</m:t>
              </m:r>
            </m:sub>
          </m:sSub>
          <m:d>
            <m:dPr>
              <m:begChr m:val="("/>
              <m:sepChr m:val=""/>
              <m:endChr m:val=")"/>
              <m:grow/>
            </m:dPr>
            <m:e>
              <m:sSub>
                <m:e>
                  <m:acc>
                    <m:accPr>
                      <m:chr m:val="̂"/>
                    </m:accPr>
                    <m:e>
                      <m:r>
                        <m:t>S</m:t>
                      </m:r>
                    </m:e>
                  </m:acc>
                </m:e>
                <m:sub>
                  <m:r>
                    <m:t>n</m:t>
                  </m:r>
                  <m:r>
                    <m:t>e</m:t>
                  </m:r>
                  <m:r>
                    <m:t>w</m:t>
                  </m:r>
                </m:sub>
              </m:sSub>
              <m:d>
                <m:dPr>
                  <m:begChr m:val="("/>
                  <m:sepChr m:val=""/>
                  <m:endChr m:val=")"/>
                  <m:grow/>
                </m:dPr>
                <m:e>
                  <m:r>
                    <m:t>t</m:t>
                  </m:r>
                </m:e>
              </m:d>
            </m:e>
          </m:d>
          <m:r>
            <m:rPr>
              <m:sty m:val="p"/>
            </m:rPr>
            <m:t>=</m:t>
          </m:r>
          <m:r>
            <m:t>V</m:t>
          </m:r>
          <m:r>
            <m:rPr>
              <m:sty m:val="p"/>
            </m:rPr>
            <m:t>(</m:t>
          </m:r>
          <m:acc>
            <m:accPr>
              <m:chr m:val="̂"/>
            </m:accPr>
            <m:e>
              <m:r>
                <m:t>S</m:t>
              </m:r>
            </m:e>
          </m:acc>
          <m:d>
            <m:dPr>
              <m:begChr m:val="("/>
              <m:sepChr m:val=""/>
              <m:endChr m:val=")"/>
              <m:grow/>
            </m:dPr>
            <m:e>
              <m:r>
                <m:t>t</m:t>
              </m:r>
              <m:d>
                <m:dPr>
                  <m:begChr m:val="|"/>
                  <m:sepChr m:val=""/>
                  <m:endChr m:val="|"/>
                  <m:grow/>
                </m:dPr>
                <m:e>
                  <m:sSub>
                    <m:e>
                      <m:r>
                        <m:t>x</m:t>
                      </m:r>
                    </m:e>
                    <m:sub>
                      <m:r>
                        <m:t>n</m:t>
                      </m:r>
                      <m:r>
                        <m:t>e</m:t>
                      </m:r>
                      <m:r>
                        <m:t>w</m:t>
                      </m:r>
                    </m:sub>
                  </m:sSub>
                  <m:r>
                    <m:rPr>
                      <m:sty m:val="p"/>
                    </m:rPr>
                    <m:t>)</m:t>
                  </m:r>
                </m:e>
              </m:d>
              <m:r>
                <m:rPr>
                  <m:sty m:val="b"/>
                </m:rPr>
                <m:t>β</m:t>
              </m:r>
            </m:e>
          </m:d>
          <m:r>
            <m:rPr>
              <m:sty m:val="p"/>
            </m:rPr>
            <m:t>+</m:t>
          </m:r>
          <m:sSubSup>
            <m:e>
              <m:d>
                <m:dPr>
                  <m:begChr m:val=""/>
                  <m:sepChr m:val=""/>
                  <m:endChr m:val="|"/>
                  <m:grow/>
                </m:dPr>
                <m:e>
                  <m:f>
                    <m:fPr>
                      <m:type m:val="bar"/>
                    </m:fPr>
                    <m:num>
                      <m:r>
                        <m:rPr>
                          <m:sty m:val="p"/>
                        </m:rPr>
                        <m:t>∂</m:t>
                      </m:r>
                      <m:r>
                        <m:t>S</m:t>
                      </m:r>
                    </m:num>
                    <m:den>
                      <m:r>
                        <m:rPr>
                          <m:sty m:val="p"/>
                        </m:rPr>
                        <m:t>∂</m:t>
                      </m:r>
                      <m:r>
                        <m:rPr>
                          <m:sty m:val="b"/>
                        </m:rPr>
                        <m:t>β</m:t>
                      </m:r>
                    </m:den>
                  </m:f>
                </m:e>
              </m:d>
            </m:e>
            <m:sub>
              <m:r>
                <m:rPr>
                  <m:sty m:val="b"/>
                </m:rPr>
                <m:t>β</m:t>
              </m:r>
              <m:r>
                <m:rPr>
                  <m:sty m:val="p"/>
                </m:rPr>
                <m:t>=</m:t>
              </m:r>
              <m:acc>
                <m:accPr>
                  <m:chr m:val="̂"/>
                </m:accPr>
                <m:e>
                  <m:r>
                    <m:rPr>
                      <m:sty m:val="b"/>
                    </m:rPr>
                    <m:t>β</m:t>
                  </m:r>
                </m:e>
              </m:acc>
            </m:sub>
            <m:sup>
              <m:r>
                <m:rPr>
                  <m:sty m:val="p"/>
                </m:rPr>
                <m:t>⊤</m:t>
              </m:r>
            </m:sup>
          </m:sSubSup>
          <m:r>
            <m:t>V</m:t>
          </m:r>
          <m:d>
            <m:dPr>
              <m:begChr m:val="("/>
              <m:sepChr m:val=""/>
              <m:endChr m:val=")"/>
              <m:grow/>
            </m:dPr>
            <m:e>
              <m:acc>
                <m:accPr>
                  <m:chr m:val="̂"/>
                </m:accPr>
                <m:e>
                  <m:r>
                    <m:rPr>
                      <m:sty m:val="b"/>
                    </m:rPr>
                    <m:t>β</m:t>
                  </m:r>
                </m:e>
              </m:acc>
            </m:e>
          </m:d>
          <m:sSub>
            <m:e>
              <m:d>
                <m:dPr>
                  <m:begChr m:val=""/>
                  <m:sepChr m:val=""/>
                  <m:endChr m:val="|"/>
                  <m:grow/>
                </m:dPr>
                <m:e>
                  <m:f>
                    <m:fPr>
                      <m:type m:val="bar"/>
                    </m:fPr>
                    <m:num>
                      <m:r>
                        <m:rPr>
                          <m:sty m:val="p"/>
                        </m:rPr>
                        <m:t>∂</m:t>
                      </m:r>
                      <m:r>
                        <m:t>S</m:t>
                      </m:r>
                    </m:num>
                    <m:den>
                      <m:r>
                        <m:rPr>
                          <m:sty m:val="p"/>
                        </m:rPr>
                        <m:t>∂</m:t>
                      </m:r>
                      <m:r>
                        <m:rPr>
                          <m:sty m:val="b"/>
                        </m:rPr>
                        <m:t>β</m:t>
                      </m:r>
                    </m:den>
                  </m:f>
                </m:e>
              </m:d>
            </m:e>
            <m:sub>
              <m:r>
                <m:rPr>
                  <m:sty m:val="b"/>
                </m:rPr>
                <m:t>β</m:t>
              </m:r>
              <m:r>
                <m:rPr>
                  <m:sty m:val="p"/>
                </m:rPr>
                <m:t>=</m:t>
              </m:r>
              <m:acc>
                <m:accPr>
                  <m:chr m:val="̂"/>
                </m:accPr>
                <m:e>
                  <m:r>
                    <m:rPr>
                      <m:sty m:val="b"/>
                    </m:rPr>
                    <m:t>β</m:t>
                  </m:r>
                </m:e>
              </m:acc>
            </m:sub>
          </m:sSub>
        </m:oMath>
      </m:oMathPara>
    </w:p>
    <w:p>
      <w:pPr>
        <w:pStyle w:val="FirstParagraph"/>
      </w:pPr>
      <w:r>
        <w:t xml:space="preserve">where</w:t>
      </w:r>
      <w:r>
        <w:t xml:space="preserve"> </w:t>
      </w:r>
      <m:oMath>
        <m:r>
          <m:t>V</m:t>
        </m:r>
        <m:r>
          <m:rPr>
            <m:sty m:val="p"/>
          </m:rPr>
          <m:t>(</m:t>
        </m:r>
        <m:acc>
          <m:accPr>
            <m:chr m:val="̂"/>
          </m:accPr>
          <m:e>
            <m:r>
              <m:t>S</m:t>
            </m:r>
          </m:e>
        </m:acc>
        <m:d>
          <m:dPr>
            <m:begChr m:val="("/>
            <m:sepChr m:val=""/>
            <m:endChr m:val=")"/>
            <m:grow/>
          </m:dPr>
          <m:e>
            <m:r>
              <m:t>t</m:t>
            </m:r>
            <m:d>
              <m:dPr>
                <m:begChr m:val="|"/>
                <m:sepChr m:val=""/>
                <m:endChr m:val="|"/>
                <m:grow/>
              </m:dPr>
              <m:e>
                <m:sSub>
                  <m:e>
                    <m:r>
                      <m:t>x</m:t>
                    </m:r>
                  </m:e>
                  <m:sub>
                    <m:r>
                      <m:rPr>
                        <m:nor/>
                        <m:sty m:val="p"/>
                      </m:rPr>
                      <m:t>new</m:t>
                    </m:r>
                  </m:sub>
                </m:sSub>
                <m:r>
                  <m:rPr>
                    <m:sty m:val="p"/>
                  </m:rPr>
                  <m:t>)</m:t>
                </m:r>
              </m:e>
            </m:d>
            <m:r>
              <m:t>β</m:t>
            </m:r>
          </m:e>
        </m:d>
      </m:oMath>
      <w:r>
        <w:t xml:space="preserve"> </w:t>
      </w:r>
      <w:r>
        <w:t xml:space="preserve">is the variance of the survival function for a patient with covariates</w:t>
      </w:r>
      <w:r>
        <w:t xml:space="preserve"> </w:t>
      </w:r>
      <m:oMath>
        <m:sSub>
          <m:e>
            <m:r>
              <m:t>x</m:t>
            </m:r>
          </m:e>
          <m:sub>
            <m:r>
              <m:t>n</m:t>
            </m:r>
            <m:r>
              <m:t>e</m:t>
            </m:r>
            <m:r>
              <m:t>w</m:t>
            </m:r>
          </m:sub>
        </m:sSub>
      </m:oMath>
      <w:r>
        <w:t xml:space="preserve">, ignoring uncertainty in</w:t>
      </w:r>
      <w:r>
        <w:t xml:space="preserve"> </w:t>
      </w:r>
      <m:oMath>
        <m:acc>
          <m:accPr>
            <m:chr m:val="̂"/>
          </m:accPr>
          <m:e>
            <m:r>
              <m:t>β</m:t>
            </m:r>
          </m:e>
        </m:acc>
      </m:oMath>
      <w:r>
        <w:t xml:space="preserve">. The second term of the sum concerns the variance due to coefficient estimation and how this variance impacts the survival function by looking at the gradient of the survival function. The first term of the variance is given by:</w:t>
      </w:r>
    </w:p>
    <w:p>
      <w:pPr>
        <w:pStyle w:val="BodyText"/>
      </w:pPr>
      <m:oMathPara>
        <m:oMathParaPr>
          <m:jc m:val="center"/>
        </m:oMathParaPr>
        <m:oMath>
          <m:r>
            <m:t>V</m:t>
          </m:r>
          <m:r>
            <m:rPr>
              <m:sty m:val="p"/>
            </m:rPr>
            <m:t>(</m:t>
          </m:r>
          <m:acc>
            <m:accPr>
              <m:chr m:val="̂"/>
            </m:accPr>
            <m:e>
              <m:r>
                <m:t>S</m:t>
              </m:r>
            </m:e>
          </m:acc>
          <m:d>
            <m:dPr>
              <m:begChr m:val="("/>
              <m:sepChr m:val=""/>
              <m:endChr m:val=")"/>
              <m:grow/>
            </m:dPr>
            <m:e>
              <m:r>
                <m:t>t</m:t>
              </m:r>
              <m:d>
                <m:dPr>
                  <m:begChr m:val="|"/>
                  <m:sepChr m:val=""/>
                  <m:endChr m:val="|"/>
                  <m:grow/>
                </m:dPr>
                <m:e>
                  <m:sSub>
                    <m:e>
                      <m:r>
                        <m:rPr>
                          <m:sty m:val="b"/>
                        </m:rPr>
                        <m:t>x</m:t>
                      </m:r>
                    </m:e>
                    <m:sub>
                      <m:r>
                        <m:rPr>
                          <m:nor/>
                          <m:sty m:val="p"/>
                        </m:rPr>
                        <m:t>new</m:t>
                      </m:r>
                    </m:sub>
                  </m:sSub>
                  <m:r>
                    <m:rPr>
                      <m:sty m:val="p"/>
                    </m:rPr>
                    <m:t>)</m:t>
                  </m:r>
                </m:e>
              </m:d>
              <m:acc>
                <m:accPr>
                  <m:chr m:val="̂"/>
                </m:accPr>
                <m:e>
                  <m:r>
                    <m:rPr>
                      <m:sty m:val="b"/>
                    </m:rPr>
                    <m:t>β</m:t>
                  </m:r>
                </m:e>
              </m:acc>
            </m:e>
          </m:d>
          <m:r>
            <m:rPr>
              <m:sty m:val="p"/>
            </m:rPr>
            <m:t>=</m:t>
          </m:r>
          <m:sSup>
            <m:e>
              <m:acc>
                <m:accPr>
                  <m:chr m:val="̂"/>
                </m:accPr>
                <m:e>
                  <m:r>
                    <m:t>S</m:t>
                  </m:r>
                </m:e>
              </m:acc>
            </m:e>
            <m:sup>
              <m:r>
                <m:t>2</m:t>
              </m:r>
            </m:sup>
          </m:sSup>
          <m:d>
            <m:dPr>
              <m:begChr m:val="("/>
              <m:sepChr m:val=""/>
              <m:endChr m:val=")"/>
              <m:grow/>
            </m:dPr>
            <m:e>
              <m:r>
                <m:t>t</m:t>
              </m:r>
              <m:r>
                <m:rPr>
                  <m:sty m:val="p"/>
                </m:rPr>
                <m:t>|</m:t>
              </m:r>
              <m:sSub>
                <m:e>
                  <m:r>
                    <m:rPr>
                      <m:sty m:val="b"/>
                    </m:rPr>
                    <m:t>x</m:t>
                  </m:r>
                </m:e>
                <m:sub>
                  <m:r>
                    <m:rPr>
                      <m:nor/>
                      <m:sty m:val="p"/>
                    </m:rPr>
                    <m:t>new</m:t>
                  </m:r>
                </m:sub>
              </m:sSub>
            </m:e>
          </m:d>
          <m:r>
            <m:rPr>
              <m:sty m:val="p"/>
            </m:rPr>
            <m:t>exp</m:t>
          </m:r>
          <m:d>
            <m:dPr>
              <m:begChr m:val="("/>
              <m:sepChr m:val=""/>
              <m:endChr m:val=")"/>
              <m:grow/>
            </m:dPr>
            <m:e>
              <m:r>
                <m:t>2</m:t>
              </m:r>
              <m:sSup>
                <m:e>
                  <m:acc>
                    <m:accPr>
                      <m:chr m:val="̂"/>
                    </m:accPr>
                    <m:e>
                      <m:r>
                        <m:rPr>
                          <m:sty m:val="b"/>
                        </m:rPr>
                        <m:t>β</m:t>
                      </m:r>
                    </m:e>
                  </m:acc>
                </m:e>
                <m:sup>
                  <m:r>
                    <m:rPr>
                      <m:sty m:val="p"/>
                    </m:rPr>
                    <m:t>⊤</m:t>
                  </m:r>
                </m:sup>
              </m:sSup>
              <m:sSub>
                <m:e>
                  <m:r>
                    <m:rPr>
                      <m:sty m:val="b"/>
                    </m:rPr>
                    <m:t>x</m:t>
                  </m:r>
                </m:e>
                <m:sub>
                  <m:r>
                    <m:rPr>
                      <m:nor/>
                      <m:sty m:val="p"/>
                    </m:rPr>
                    <m:t>new</m:t>
                  </m:r>
                </m:sub>
              </m:sSub>
            </m:e>
          </m:d>
          <m:nary>
            <m:naryPr>
              <m:chr m:val="∑"/>
              <m:limLoc m:val="undOvr"/>
              <m:subHide m:val="off"/>
              <m:supHide m:val="on"/>
            </m:naryPr>
            <m:sub>
              <m:r>
                <m:t>j</m:t>
              </m:r>
              <m:r>
                <m:rPr>
                  <m:sty m:val="p"/>
                </m:rPr>
                <m:t>:</m:t>
              </m:r>
              <m:sSub>
                <m:e>
                  <m:r>
                    <m:t>t</m:t>
                  </m:r>
                </m:e>
                <m:sub>
                  <m:r>
                    <m:t>j</m:t>
                  </m:r>
                </m:sub>
              </m:sSub>
              <m:r>
                <m:rPr>
                  <m:sty m:val="p"/>
                </m:rPr>
                <m:t>≤</m:t>
              </m:r>
              <m:r>
                <m:t>t</m:t>
              </m:r>
            </m:sub>
            <m:sup>
              <m:r>
                <m:t>​</m:t>
              </m:r>
            </m:sup>
            <m:e>
              <m:f>
                <m:fPr>
                  <m:type m:val="bar"/>
                </m:fPr>
                <m:num>
                  <m:sSub>
                    <m:e>
                      <m:r>
                        <m:t>d</m:t>
                      </m:r>
                    </m:e>
                    <m:sub>
                      <m:r>
                        <m:t>j</m:t>
                      </m:r>
                    </m:sub>
                  </m:sSub>
                </m:num>
                <m:den>
                  <m:sSup>
                    <m:e>
                      <m:d>
                        <m:dPr>
                          <m:begChr m:val="("/>
                          <m:sepChr m:val=""/>
                          <m:endChr m:val=")"/>
                          <m:grow/>
                        </m:dPr>
                        <m:e>
                          <m:nary>
                            <m:naryPr>
                              <m:chr m:val="∑"/>
                              <m:limLoc m:val="undOvr"/>
                              <m:subHide m:val="off"/>
                              <m:supHide m:val="on"/>
                            </m:naryPr>
                            <m:sub>
                              <m:r>
                                <m:t>i</m:t>
                              </m:r>
                              <m:r>
                                <m:rPr>
                                  <m:sty m:val="p"/>
                                </m:rPr>
                                <m:t>∈</m:t>
                              </m:r>
                              <m:sSub>
                                <m:e>
                                  <m:r>
                                    <m:t>R</m:t>
                                  </m:r>
                                </m:e>
                                <m:sub>
                                  <m:r>
                                    <m:t>j</m:t>
                                  </m:r>
                                </m:sub>
                              </m:sSub>
                            </m:sub>
                            <m:sup>
                              <m:r>
                                <m:t>​</m:t>
                              </m:r>
                            </m:sup>
                            <m:e>
                              <m:r>
                                <m:rPr>
                                  <m:sty m:val="p"/>
                                </m:rPr>
                                <m:t>exp</m:t>
                              </m:r>
                            </m:e>
                          </m:nary>
                          <m:d>
                            <m:dPr>
                              <m:begChr m:val="("/>
                              <m:sepChr m:val=""/>
                              <m:endChr m:val=")"/>
                              <m:grow/>
                            </m:dPr>
                            <m:e>
                              <m:sSup>
                                <m:e>
                                  <m:acc>
                                    <m:accPr>
                                      <m:chr m:val="̂"/>
                                    </m:accPr>
                                    <m:e>
                                      <m:r>
                                        <m:rPr>
                                          <m:sty m:val="b"/>
                                        </m:rPr>
                                        <m:t>β</m:t>
                                      </m:r>
                                    </m:e>
                                  </m:acc>
                                </m:e>
                                <m:sup>
                                  <m:r>
                                    <m:rPr>
                                      <m:sty m:val="p"/>
                                    </m:rPr>
                                    <m:t>⊤</m:t>
                                  </m:r>
                                </m:sup>
                              </m:sSup>
                              <m:sSub>
                                <m:e>
                                  <m:r>
                                    <m:rPr>
                                      <m:sty m:val="b"/>
                                    </m:rPr>
                                    <m:t>x</m:t>
                                  </m:r>
                                </m:e>
                                <m:sub>
                                  <m:r>
                                    <m:t>i</m:t>
                                  </m:r>
                                </m:sub>
                              </m:sSub>
                            </m:e>
                          </m:d>
                        </m:e>
                      </m:d>
                    </m:e>
                    <m:sup>
                      <m:r>
                        <m:t>2</m:t>
                      </m:r>
                    </m:sup>
                  </m:sSup>
                </m:den>
              </m:f>
            </m:e>
          </m:nary>
        </m:oMath>
      </m:oMathPara>
    </w:p>
    <w:p>
      <w:pPr>
        <w:pStyle w:val="FirstParagraph"/>
      </w:pPr>
      <w:r>
        <w:t xml:space="preserve">which is the Aalen formula for the variance of the baseline survival function based on the risk-weighted number at risk, multiplied by the risk score of our new patient.</w:t>
      </w:r>
    </w:p>
    <w:p>
      <w:pPr>
        <w:pStyle w:val="BodyText"/>
      </w:pPr>
      <w:r>
        <w:t xml:space="preserve">The uncertainty in</w:t>
      </w:r>
      <w:r>
        <w:t xml:space="preserve"> </w:t>
      </w:r>
      <m:oMath>
        <m:sSub>
          <m:e>
            <m:acc>
              <m:accPr>
                <m:chr m:val="̂"/>
              </m:accPr>
              <m:e>
                <m:r>
                  <m:t>S</m:t>
                </m:r>
              </m:e>
            </m:acc>
          </m:e>
          <m:sub>
            <m:r>
              <m:rPr>
                <m:nor/>
                <m:sty m:val="p"/>
              </m:rPr>
              <m:t>new</m:t>
            </m:r>
          </m:sub>
        </m:sSub>
        <m:d>
          <m:dPr>
            <m:begChr m:val="("/>
            <m:sepChr m:val=""/>
            <m:endChr m:val=")"/>
            <m:grow/>
          </m:dPr>
          <m:e>
            <m:r>
              <m:t>t</m:t>
            </m:r>
          </m:e>
        </m:d>
      </m:oMath>
      <w:r>
        <w:t xml:space="preserve"> </w:t>
      </w:r>
      <w:r>
        <w:t xml:space="preserve">caused by the estimation of the coefficients depends on the variance of the coefficients and the gradient of the survival function with respect to the coefficients. The variance of the estimated coefficients</w:t>
      </w:r>
      <w:r>
        <w:t xml:space="preserve"> </w:t>
      </w:r>
      <m:oMath>
        <m:r>
          <m:t>V</m:t>
        </m:r>
        <m:d>
          <m:dPr>
            <m:begChr m:val="("/>
            <m:sepChr m:val=""/>
            <m:endChr m:val=")"/>
            <m:grow/>
          </m:dPr>
          <m:e>
            <m:acc>
              <m:accPr>
                <m:chr m:val="̂"/>
              </m:accPr>
              <m:e>
                <m:r>
                  <m:t>β</m:t>
                </m:r>
              </m:e>
            </m:acc>
          </m:e>
        </m:d>
      </m:oMath>
      <w:r>
        <w:t xml:space="preserve"> </w:t>
      </w:r>
      <w:r>
        <w:t xml:space="preserve">is asymptotically equal to the inverse Fisher information matrix</w:t>
      </w:r>
      <w:r>
        <w:t xml:space="preserve"> </w:t>
      </w:r>
      <m:oMath>
        <m:r>
          <m:t>I</m:t>
        </m:r>
        <m:sSup>
          <m:e>
            <m:d>
              <m:dPr>
                <m:begChr m:val="("/>
                <m:sepChr m:val=""/>
                <m:endChr m:val=")"/>
                <m:grow/>
              </m:dPr>
              <m:e>
                <m:acc>
                  <m:accPr>
                    <m:chr m:val="̂"/>
                  </m:accPr>
                  <m:e>
                    <m:r>
                      <m:t>β</m:t>
                    </m:r>
                  </m:e>
                </m:acc>
              </m:e>
            </m:d>
          </m:e>
          <m:sup>
            <m:r>
              <m:rPr>
                <m:sty m:val="p"/>
              </m:rPr>
              <m:t>−</m:t>
            </m:r>
            <m:r>
              <m:t>1</m:t>
            </m:r>
          </m:sup>
        </m:sSup>
      </m:oMath>
      <w:r>
        <w:t xml:space="preserve">. Finally, we can estimate the gradient of the survival function with respect to the coefficient by:</w:t>
      </w:r>
    </w:p>
    <w:p>
      <w:pPr>
        <w:pStyle w:val="BodyText"/>
      </w:pPr>
      <m:oMathPara>
        <m:oMathParaPr>
          <m:jc m:val="center"/>
        </m:oMathParaPr>
        <m:oMath>
          <m:sSub>
            <m:e>
              <m:d>
                <m:dPr>
                  <m:begChr m:val=""/>
                  <m:sepChr m:val=""/>
                  <m:endChr m:val="|"/>
                  <m:grow/>
                </m:dPr>
                <m:e>
                  <m:f>
                    <m:fPr>
                      <m:type m:val="bar"/>
                    </m:fPr>
                    <m:num>
                      <m:r>
                        <m:rPr>
                          <m:sty m:val="p"/>
                        </m:rPr>
                        <m:t>∂</m:t>
                      </m:r>
                      <m:acc>
                        <m:accPr>
                          <m:chr m:val="̂"/>
                        </m:accPr>
                        <m:e>
                          <m:r>
                            <m:t>S</m:t>
                          </m:r>
                        </m:e>
                      </m:acc>
                      <m:d>
                        <m:dPr>
                          <m:begChr m:val="("/>
                          <m:sepChr m:val=""/>
                          <m:endChr m:val=")"/>
                          <m:grow/>
                        </m:dPr>
                        <m:e>
                          <m:r>
                            <m:t>t</m:t>
                          </m:r>
                          <m:r>
                            <m:rPr>
                              <m:sty m:val="p"/>
                            </m:rPr>
                            <m:t>|</m:t>
                          </m:r>
                          <m:sSub>
                            <m:e>
                              <m:r>
                                <m:t>x</m:t>
                              </m:r>
                            </m:e>
                            <m:sub>
                              <m:r>
                                <m:rPr>
                                  <m:nor/>
                                  <m:sty m:val="p"/>
                                </m:rPr>
                                <m:t>new</m:t>
                              </m:r>
                            </m:sub>
                          </m:sSub>
                        </m:e>
                      </m:d>
                    </m:num>
                    <m:den>
                      <m:r>
                        <m:rPr>
                          <m:sty m:val="p"/>
                        </m:rPr>
                        <m:t>∂</m:t>
                      </m:r>
                      <m:r>
                        <m:t>β</m:t>
                      </m:r>
                    </m:den>
                  </m:f>
                </m:e>
              </m:d>
            </m:e>
            <m:sub>
              <m:r>
                <m:rPr>
                  <m:sty m:val="b"/>
                </m:rPr>
                <m:t>β</m:t>
              </m:r>
              <m:r>
                <m:rPr>
                  <m:sty m:val="p"/>
                </m:rPr>
                <m:t>=</m:t>
              </m:r>
              <m:acc>
                <m:accPr>
                  <m:chr m:val="̂"/>
                </m:accPr>
                <m:e>
                  <m:r>
                    <m:rPr>
                      <m:sty m:val="b"/>
                    </m:rPr>
                    <m:t>β</m:t>
                  </m:r>
                </m:e>
              </m:acc>
            </m:sub>
          </m:sSub>
          <m:r>
            <m:rPr>
              <m:sty m:val="p"/>
            </m:rPr>
            <m:t>=</m:t>
          </m:r>
          <m:r>
            <m:rPr>
              <m:sty m:val="p"/>
            </m:rPr>
            <m:t>exp</m:t>
          </m:r>
          <m:d>
            <m:dPr>
              <m:begChr m:val="("/>
              <m:sepChr m:val=""/>
              <m:endChr m:val=")"/>
              <m:grow/>
            </m:dPr>
            <m:e>
              <m:sSup>
                <m:e>
                  <m:r>
                    <m:t>β</m:t>
                  </m:r>
                </m:e>
                <m:sup>
                  <m:r>
                    <m:rPr>
                      <m:sty m:val="p"/>
                    </m:rPr>
                    <m:t>⊤</m:t>
                  </m:r>
                </m:sup>
              </m:sSup>
              <m:sSub>
                <m:e>
                  <m:r>
                    <m:t>x</m:t>
                  </m:r>
                </m:e>
                <m:sub>
                  <m:r>
                    <m:rPr>
                      <m:nor/>
                      <m:sty m:val="p"/>
                    </m:rPr>
                    <m:t>new</m:t>
                  </m:r>
                </m:sub>
              </m:sSub>
            </m:e>
          </m:d>
          <m:r>
            <m:t>w</m:t>
          </m:r>
        </m:oMath>
      </m:oMathPara>
    </w:p>
    <w:p>
      <w:pPr>
        <w:pStyle w:val="FirstParagraph"/>
      </w:pPr>
      <w:r>
        <w:t xml:space="preserve">where</w:t>
      </w:r>
      <w:r>
        <w:t xml:space="preserve"> </w:t>
      </w:r>
      <m:oMath>
        <m:r>
          <m:t>w</m:t>
        </m:r>
        <m:r>
          <m:rPr>
            <m:sty m:val="p"/>
          </m:rPr>
          <m:t>=</m:t>
        </m:r>
        <m:d>
          <m:dPr>
            <m:begChr m:val="("/>
            <m:sepChr m:val=""/>
            <m:endChr m:val=")"/>
            <m:grow/>
          </m:dPr>
          <m:e>
            <m:sSub>
              <m:e>
                <m:r>
                  <m:t>w</m:t>
                </m:r>
              </m:e>
              <m:sub>
                <m:r>
                  <m:t>1</m:t>
                </m:r>
              </m:sub>
            </m:sSub>
            <m:r>
              <m:rPr>
                <m:sty m:val="p"/>
              </m:rPr>
              <m:t>,</m:t>
            </m:r>
            <m:r>
              <m:rPr>
                <m:sty m:val="p"/>
              </m:rPr>
              <m:t>…</m:t>
            </m:r>
            <m:r>
              <m:rPr>
                <m:sty m:val="p"/>
              </m:rPr>
              <m:t>,</m:t>
            </m:r>
            <m:sSub>
              <m:e>
                <m:r>
                  <m:t>w</m:t>
                </m:r>
              </m:e>
              <m:sub>
                <m:r>
                  <m:t>p</m:t>
                </m:r>
              </m:sub>
            </m:sSub>
          </m:e>
        </m:d>
      </m:oMath>
      <w:r>
        <w:t xml:space="preserve"> </w:t>
      </w:r>
      <w:r>
        <w:t xml:space="preserve">is a vector of partial derivatives, with</w:t>
      </w:r>
      <w:r>
        <w:t xml:space="preserve"> </w:t>
      </w:r>
      <m:oMath>
        <m:sSub>
          <m:e>
            <m:r>
              <m:t>w</m:t>
            </m:r>
          </m:e>
          <m:sub>
            <m:r>
              <m:t>q</m:t>
            </m:r>
          </m:sub>
        </m:sSub>
      </m:oMath>
      <w:r>
        <w:t xml:space="preserve"> </w:t>
      </w:r>
      <w:r>
        <w:t xml:space="preserve">the partial derivative of the survival function in the direction of</w:t>
      </w:r>
      <w:r>
        <w:t xml:space="preserve"> </w:t>
      </w:r>
      <m:oMath>
        <m:sSub>
          <m:e>
            <m:r>
              <m:t>β</m:t>
            </m:r>
          </m:e>
          <m:sub>
            <m:r>
              <m:t>q</m:t>
            </m:r>
          </m:sub>
        </m:sSub>
      </m:oMath>
      <w:r>
        <w:t xml:space="preserve"> </w:t>
      </w:r>
      <w:r>
        <w:t xml:space="preserve">for</w:t>
      </w:r>
      <w:r>
        <w:t xml:space="preserve"> </w:t>
      </w:r>
      <m:oMath>
        <m:r>
          <m:t>q</m:t>
        </m:r>
        <m:r>
          <m:rPr>
            <m:sty m:val="p"/>
          </m:rPr>
          <m:t>∈</m:t>
        </m:r>
        <m:r>
          <m:rPr>
            <m:sty m:val="p"/>
          </m:rPr>
          <m:t>{</m:t>
        </m:r>
        <m:r>
          <m:t>1</m:t>
        </m:r>
        <m:r>
          <m:rPr>
            <m:sty m:val="p"/>
          </m:rPr>
          <m:t>,</m:t>
        </m:r>
        <m:r>
          <m:rPr>
            <m:sty m:val="p"/>
          </m:rPr>
          <m:t>…</m:t>
        </m:r>
        <m:r>
          <m:rPr>
            <m:sty m:val="p"/>
          </m:rPr>
          <m:t>,</m:t>
        </m:r>
        <m:r>
          <m:t>p</m:t>
        </m:r>
        <m:r>
          <m:rPr>
            <m:sty m:val="p"/>
          </m:rPr>
          <m:t>}</m:t>
        </m:r>
      </m:oMath>
      <w:r>
        <w:t xml:space="preserve"> </w:t>
      </w:r>
      <w:r>
        <w:t xml:space="preserve">with:</w:t>
      </w:r>
    </w:p>
    <w:p>
      <w:pPr>
        <w:pStyle w:val="BodyText"/>
      </w:pPr>
      <m:oMathPara>
        <m:oMathParaPr>
          <m:jc m:val="center"/>
        </m:oMathParaPr>
        <m:oMath>
          <m:sSub>
            <m:e>
              <m:r>
                <m:t>w</m:t>
              </m:r>
            </m:e>
            <m:sub>
              <m:r>
                <m:t>q</m:t>
              </m:r>
            </m:sub>
          </m:sSub>
          <m:r>
            <m:rPr>
              <m:sty m:val="p"/>
            </m:rPr>
            <m:t>=</m:t>
          </m:r>
          <m:nary>
            <m:naryPr>
              <m:chr m:val="∑"/>
              <m:limLoc m:val="undOvr"/>
              <m:subHide m:val="off"/>
              <m:supHide m:val="on"/>
            </m:naryPr>
            <m:sub>
              <m:r>
                <m:t>j</m:t>
              </m:r>
              <m:r>
                <m:rPr>
                  <m:sty m:val="p"/>
                </m:rPr>
                <m:t>:</m:t>
              </m:r>
              <m:sSub>
                <m:e>
                  <m:r>
                    <m:t>t</m:t>
                  </m:r>
                </m:e>
                <m:sub>
                  <m:r>
                    <m:t>j</m:t>
                  </m:r>
                </m:sub>
              </m:sSub>
              <m:r>
                <m:rPr>
                  <m:sty m:val="p"/>
                </m:rPr>
                <m:t>≤</m:t>
              </m:r>
              <m:r>
                <m:t>t</m:t>
              </m:r>
            </m:sub>
            <m:sup>
              <m:r>
                <m:t>​</m:t>
              </m:r>
            </m:sup>
            <m:e>
              <m:f>
                <m:fPr>
                  <m:type m:val="bar"/>
                </m:fPr>
                <m:num>
                  <m:r>
                    <m:t>1</m:t>
                  </m:r>
                </m:num>
                <m:den>
                  <m:nary>
                    <m:naryPr>
                      <m:chr m:val="∑"/>
                      <m:limLoc m:val="undOvr"/>
                      <m:subHide m:val="off"/>
                      <m:supHide m:val="on"/>
                    </m:naryPr>
                    <m:sub>
                      <m:r>
                        <m:t>i</m:t>
                      </m:r>
                      <m:r>
                        <m:rPr>
                          <m:sty m:val="p"/>
                        </m:rPr>
                        <m:t>∈</m:t>
                      </m:r>
                      <m:sSub>
                        <m:e>
                          <m:r>
                            <m:t>R</m:t>
                          </m:r>
                        </m:e>
                        <m:sub>
                          <m:r>
                            <m:t>j</m:t>
                          </m:r>
                        </m:sub>
                      </m:sSub>
                    </m:sub>
                    <m:sup>
                      <m:r>
                        <m:t>​</m:t>
                      </m:r>
                    </m:sup>
                    <m:e>
                      <m:r>
                        <m:rPr>
                          <m:sty m:val="p"/>
                        </m:rPr>
                        <m:t>exp</m:t>
                      </m:r>
                    </m:e>
                  </m:nary>
                  <m:d>
                    <m:dPr>
                      <m:begChr m:val="("/>
                      <m:sepChr m:val=""/>
                      <m:endChr m:val=")"/>
                      <m:grow/>
                    </m:dPr>
                    <m:e>
                      <m:sSup>
                        <m:e>
                          <m:acc>
                            <m:accPr>
                              <m:chr m:val="̂"/>
                            </m:accPr>
                            <m:e>
                              <m:r>
                                <m:t>β</m:t>
                              </m:r>
                            </m:e>
                          </m:acc>
                        </m:e>
                        <m:sup>
                          <m:r>
                            <m:rPr>
                              <m:sty m:val="p"/>
                            </m:rPr>
                            <m:t>⊤</m:t>
                          </m:r>
                        </m:sup>
                      </m:sSup>
                      <m:sSub>
                        <m:e>
                          <m:r>
                            <m:t>x</m:t>
                          </m:r>
                        </m:e>
                        <m:sub>
                          <m:r>
                            <m:t>i</m:t>
                          </m:r>
                        </m:sub>
                      </m:sSub>
                    </m:e>
                  </m:d>
                </m:den>
              </m:f>
            </m:e>
          </m:nary>
          <m:d>
            <m:dPr>
              <m:begChr m:val="("/>
              <m:sepChr m:val=""/>
              <m:endChr m:val=")"/>
              <m:grow/>
            </m:dPr>
            <m:e>
              <m:sSub>
                <m:e>
                  <m:bar>
                    <m:barPr>
                      <m:pos m:val="top"/>
                    </m:barPr>
                    <m:e>
                      <m:r>
                        <m:t>x</m:t>
                      </m:r>
                    </m:e>
                  </m:bar>
                </m:e>
                <m:sub>
                  <m:r>
                    <m:t>q</m:t>
                  </m:r>
                </m:sub>
              </m:sSub>
              <m:r>
                <m:rPr>
                  <m:sty m:val="p"/>
                </m:rPr>
                <m:t>−</m:t>
              </m:r>
              <m:sSub>
                <m:e>
                  <m:r>
                    <m:t>x</m:t>
                  </m:r>
                </m:e>
                <m:sub>
                  <m:r>
                    <m:rPr>
                      <m:nor/>
                      <m:sty m:val="p"/>
                    </m:rPr>
                    <m:t>new</m:t>
                  </m:r>
                  <m:r>
                    <m:rPr>
                      <m:sty m:val="p"/>
                    </m:rPr>
                    <m:t>,</m:t>
                  </m:r>
                  <m:r>
                    <m:t>q</m:t>
                  </m:r>
                </m:sub>
              </m:sSub>
            </m:e>
          </m:d>
        </m:oMath>
      </m:oMathPara>
    </w:p>
    <w:p>
      <w:pPr>
        <w:pStyle w:val="FirstParagraph"/>
      </w:pPr>
      <w:r>
        <w:t xml:space="preserve">where</w:t>
      </w:r>
      <w:r>
        <w:t xml:space="preserve"> </w:t>
      </w:r>
      <m:oMath>
        <m:sSub>
          <m:e>
            <m:bar>
              <m:barPr>
                <m:pos m:val="top"/>
              </m:barPr>
              <m:e>
                <m:r>
                  <m:t>x</m:t>
                </m:r>
              </m:e>
            </m:bar>
          </m:e>
          <m:sub>
            <m:r>
              <m:t>q</m:t>
            </m:r>
          </m:sub>
        </m:sSub>
      </m:oMath>
      <w:r>
        <w:t xml:space="preserve"> </w:t>
      </w:r>
      <w:r>
        <w:t xml:space="preserve">is the risk-weighted mean of</w:t>
      </w:r>
      <w:r>
        <w:t xml:space="preserve"> </w:t>
      </w:r>
      <m:oMath>
        <m:sSub>
          <m:e>
            <m:r>
              <m:t>x</m:t>
            </m:r>
          </m:e>
          <m:sub>
            <m:r>
              <m:t>j</m:t>
            </m:r>
            <m:r>
              <m:rPr>
                <m:sty m:val="p"/>
              </m:rPr>
              <m:t>,</m:t>
            </m:r>
            <m:r>
              <m:t>q</m:t>
            </m:r>
          </m:sub>
        </m:sSub>
      </m:oMath>
      <w:r>
        <w:t xml:space="preserve">’s (</w:t>
      </w:r>
      <m:oMath>
        <m:sSub>
          <m:e>
            <m:bar>
              <m:barPr>
                <m:pos m:val="top"/>
              </m:barPr>
              <m:e>
                <m:r>
                  <m:t>x</m:t>
                </m:r>
              </m:e>
            </m:bar>
          </m:e>
          <m:sub>
            <m:r>
              <m:t>q</m:t>
            </m:r>
          </m:sub>
        </m:sSub>
        <m:r>
          <m:rPr>
            <m:sty m:val="p"/>
          </m:rPr>
          <m:t>=</m:t>
        </m:r>
        <m:f>
          <m:fPr>
            <m:type m:val="bar"/>
          </m:fPr>
          <m:num>
            <m:nary>
              <m:naryPr>
                <m:chr m:val="∑"/>
                <m:limLoc m:val="undOvr"/>
                <m:subHide m:val="off"/>
                <m:supHide m:val="on"/>
              </m:naryPr>
              <m:sub>
                <m:r>
                  <m:t>i</m:t>
                </m:r>
                <m:r>
                  <m:rPr>
                    <m:sty m:val="p"/>
                  </m:rPr>
                  <m:t>∈</m:t>
                </m:r>
                <m:sSub>
                  <m:e>
                    <m:r>
                      <m:t>R</m:t>
                    </m:r>
                  </m:e>
                  <m:sub>
                    <m:r>
                      <m:t>j</m:t>
                    </m:r>
                  </m:sub>
                </m:sSub>
              </m:sub>
              <m:sup>
                <m:r>
                  <m:t>​</m:t>
                </m:r>
              </m:sup>
              <m:e>
                <m:sSub>
                  <m:e>
                    <m:r>
                      <m:t>x</m:t>
                    </m:r>
                  </m:e>
                  <m:sub>
                    <m:r>
                      <m:t>i</m:t>
                    </m:r>
                    <m:r>
                      <m:rPr>
                        <m:sty m:val="p"/>
                      </m:rPr>
                      <m:t>,</m:t>
                    </m:r>
                    <m:r>
                      <m:t>q</m:t>
                    </m:r>
                  </m:sub>
                </m:sSub>
              </m:e>
            </m:nary>
            <m:r>
              <m:rPr>
                <m:sty m:val="p"/>
              </m:rPr>
              <m:t>exp</m:t>
            </m:r>
            <m:d>
              <m:dPr>
                <m:begChr m:val="("/>
                <m:sepChr m:val=""/>
                <m:endChr m:val=")"/>
                <m:grow/>
              </m:dPr>
              <m:e>
                <m:sSup>
                  <m:e>
                    <m:acc>
                      <m:accPr>
                        <m:chr m:val="̂"/>
                      </m:accPr>
                      <m:e>
                        <m:r>
                          <m:t>β</m:t>
                        </m:r>
                      </m:e>
                    </m:acc>
                  </m:e>
                  <m:sup>
                    <m:r>
                      <m:rPr>
                        <m:sty m:val="p"/>
                      </m:rPr>
                      <m:t>⊤</m:t>
                    </m:r>
                  </m:sup>
                </m:sSup>
                <m:sSub>
                  <m:e>
                    <m:r>
                      <m:t>x</m:t>
                    </m:r>
                  </m:e>
                  <m:sub>
                    <m:r>
                      <m:t>i</m:t>
                    </m:r>
                  </m:sub>
                </m:sSub>
              </m:e>
            </m:d>
          </m:num>
          <m:den>
            <m:nary>
              <m:naryPr>
                <m:chr m:val="∑"/>
                <m:limLoc m:val="undOvr"/>
                <m:subHide m:val="off"/>
                <m:supHide m:val="on"/>
              </m:naryPr>
              <m:sub>
                <m:r>
                  <m:t>i</m:t>
                </m:r>
                <m:r>
                  <m:rPr>
                    <m:sty m:val="p"/>
                  </m:rPr>
                  <m:t>∈</m:t>
                </m:r>
                <m:sSub>
                  <m:e>
                    <m:r>
                      <m:t>R</m:t>
                    </m:r>
                  </m:e>
                  <m:sub>
                    <m:r>
                      <m:t>j</m:t>
                    </m:r>
                  </m:sub>
                </m:sSub>
              </m:sub>
              <m:sup>
                <m:r>
                  <m:t>​</m:t>
                </m:r>
              </m:sup>
              <m:e>
                <m:r>
                  <m:rPr>
                    <m:sty m:val="p"/>
                  </m:rPr>
                  <m:t>exp</m:t>
                </m:r>
              </m:e>
            </m:nary>
            <m:d>
              <m:dPr>
                <m:begChr m:val="("/>
                <m:sepChr m:val=""/>
                <m:endChr m:val=")"/>
                <m:grow/>
              </m:dPr>
              <m:e>
                <m:sSup>
                  <m:e>
                    <m:acc>
                      <m:accPr>
                        <m:chr m:val="̂"/>
                      </m:accPr>
                      <m:e>
                        <m:r>
                          <m:t>β</m:t>
                        </m:r>
                      </m:e>
                    </m:acc>
                  </m:e>
                  <m:sup>
                    <m:r>
                      <m:rPr>
                        <m:sty m:val="p"/>
                      </m:rPr>
                      <m:t>⊤</m:t>
                    </m:r>
                  </m:sup>
                </m:sSup>
                <m:sSub>
                  <m:e>
                    <m:r>
                      <m:t>x</m:t>
                    </m:r>
                  </m:e>
                  <m:sub>
                    <m:r>
                      <m:t>i</m:t>
                    </m:r>
                  </m:sub>
                </m:sSub>
              </m:e>
            </m:d>
          </m:den>
        </m:f>
      </m:oMath>
      <w:r>
        <w:t xml:space="preserve">), which are the</w:t>
      </w:r>
      <w:r>
        <w:t xml:space="preserve"> </w:t>
      </w:r>
      <m:oMath>
        <m:r>
          <m:t>q</m:t>
        </m:r>
      </m:oMath>
      <w:r>
        <w:t xml:space="preserve">-th covariate for individuals</w:t>
      </w:r>
      <w:r>
        <w:t xml:space="preserve"> </w:t>
      </w:r>
      <m:oMath>
        <m:r>
          <m:t>j</m:t>
        </m:r>
      </m:oMath>
      <w:r>
        <w:t xml:space="preserve">. Together, we have that the effective sample size for a Cox model prediction of a patient with covariate values</w:t>
      </w:r>
      <w:r>
        <w:t xml:space="preserve"> </w:t>
      </w:r>
      <m:oMath>
        <m:sSub>
          <m:e>
            <m:r>
              <m:t>x</m:t>
            </m:r>
          </m:e>
          <m:sub>
            <m:r>
              <m:rPr>
                <m:nor/>
                <m:sty m:val="p"/>
              </m:rPr>
              <m:t>new</m:t>
            </m:r>
          </m:sub>
        </m:sSub>
      </m:oMath>
      <w:r>
        <w:t xml:space="preserve"> </w:t>
      </w:r>
      <w:r>
        <w:t xml:space="preserve">at time</w:t>
      </w:r>
      <w:r>
        <w:t xml:space="preserve"> </w:t>
      </w:r>
      <m:oMath>
        <m:r>
          <m:t>t</m:t>
        </m:r>
      </m:oMath>
      <w:r>
        <w:t xml:space="preserve"> </w:t>
      </w:r>
      <w:r>
        <w:t xml:space="preserve">is:</w:t>
      </w:r>
    </w:p>
    <w:p>
      <w:pPr>
        <w:pStyle w:val="BodyText"/>
      </w:pPr>
      <m:oMathPara>
        <m:oMathParaPr>
          <m:jc m:val="center"/>
        </m:oMathParaPr>
        <m:oMath>
          <m:sSub>
            <m:e>
              <m:r>
                <m:t>N</m:t>
              </m:r>
            </m:e>
            <m:sub>
              <m:r>
                <m:rPr>
                  <m:sty m:val="p"/>
                </m:rPr>
                <m:t>*</m:t>
              </m:r>
            </m:sub>
          </m:sSub>
          <m:d>
            <m:dPr>
              <m:begChr m:val="("/>
              <m:sepChr m:val=""/>
              <m:endChr m:val=")"/>
              <m:grow/>
            </m:dPr>
            <m:e>
              <m:r>
                <m:t>t</m:t>
              </m:r>
              <m:r>
                <m:rPr>
                  <m:sty m:val="p"/>
                </m:rPr>
                <m:t>,</m:t>
              </m:r>
              <m:sSub>
                <m:e>
                  <m:r>
                    <m:t>x</m:t>
                  </m:r>
                </m:e>
                <m:sub>
                  <m:r>
                    <m:rPr>
                      <m:nor/>
                      <m:sty m:val="p"/>
                    </m:rPr>
                    <m:t>new</m:t>
                  </m:r>
                </m:sub>
              </m:sSub>
            </m:e>
          </m:d>
          <m:r>
            <m:rPr>
              <m:sty m:val="p"/>
            </m:rPr>
            <m:t>=</m:t>
          </m:r>
          <m:f>
            <m:fPr>
              <m:type m:val="bar"/>
            </m:fPr>
            <m:num>
              <m:sSub>
                <m:e>
                  <m:acc>
                    <m:accPr>
                      <m:chr m:val="̂"/>
                    </m:accPr>
                    <m:e>
                      <m:r>
                        <m:t>S</m:t>
                      </m:r>
                    </m:e>
                  </m:acc>
                </m:e>
                <m:sub>
                  <m:r>
                    <m:rPr>
                      <m:nor/>
                      <m:sty m:val="p"/>
                    </m:rPr>
                    <m:t>new</m:t>
                  </m:r>
                </m:sub>
              </m:sSub>
              <m:d>
                <m:dPr>
                  <m:begChr m:val="("/>
                  <m:sepChr m:val=""/>
                  <m:endChr m:val=")"/>
                  <m:grow/>
                </m:dPr>
                <m:e>
                  <m:r>
                    <m:t>t</m:t>
                  </m:r>
                </m:e>
              </m:d>
              <m:d>
                <m:dPr>
                  <m:begChr m:val="("/>
                  <m:sepChr m:val=""/>
                  <m:endChr m:val=")"/>
                  <m:grow/>
                </m:dPr>
                <m:e>
                  <m:r>
                    <m:t>1</m:t>
                  </m:r>
                  <m:r>
                    <m:rPr>
                      <m:sty m:val="p"/>
                    </m:rPr>
                    <m:t>−</m:t>
                  </m:r>
                  <m:sSub>
                    <m:e>
                      <m:acc>
                        <m:accPr>
                          <m:chr m:val="̂"/>
                        </m:accPr>
                        <m:e>
                          <m:r>
                            <m:t>S</m:t>
                          </m:r>
                        </m:e>
                      </m:acc>
                    </m:e>
                    <m:sub>
                      <m:r>
                        <m:rPr>
                          <m:nor/>
                          <m:sty m:val="p"/>
                        </m:rPr>
                        <m:t>new</m:t>
                      </m:r>
                    </m:sub>
                  </m:sSub>
                  <m:d>
                    <m:dPr>
                      <m:begChr m:val="("/>
                      <m:sepChr m:val=""/>
                      <m:endChr m:val=")"/>
                      <m:grow/>
                    </m:dPr>
                    <m:e>
                      <m:r>
                        <m:t>t</m:t>
                      </m:r>
                    </m:e>
                  </m:d>
                </m:e>
              </m:d>
            </m:num>
            <m:den>
              <m:r>
                <m:rPr>
                  <m:sty m:val="p"/>
                </m:rPr>
                <m:t>exp</m:t>
              </m:r>
              <m:d>
                <m:dPr>
                  <m:begChr m:val="("/>
                  <m:sepChr m:val=""/>
                  <m:endChr m:val=")"/>
                  <m:grow/>
                </m:dPr>
                <m:e>
                  <m:r>
                    <m:t>2</m:t>
                  </m:r>
                  <m:sSup>
                    <m:e>
                      <m:acc>
                        <m:accPr>
                          <m:chr m:val="̂"/>
                        </m:accPr>
                        <m:e>
                          <m:r>
                            <m:t>β</m:t>
                          </m:r>
                        </m:e>
                      </m:acc>
                    </m:e>
                    <m:sup>
                      <m:r>
                        <m:rPr>
                          <m:sty m:val="p"/>
                        </m:rPr>
                        <m:t>⊤</m:t>
                      </m:r>
                    </m:sup>
                  </m:sSup>
                  <m:sSub>
                    <m:e>
                      <m:r>
                        <m:t>x</m:t>
                      </m:r>
                    </m:e>
                    <m:sub>
                      <m:r>
                        <m:rPr>
                          <m:nor/>
                          <m:sty m:val="p"/>
                        </m:rPr>
                        <m:t>new</m:t>
                      </m:r>
                    </m:sub>
                  </m:sSub>
                </m:e>
              </m:d>
              <m:sSubSup>
                <m:e>
                  <m:acc>
                    <m:accPr>
                      <m:chr m:val="̂"/>
                    </m:accPr>
                    <m:e>
                      <m:r>
                        <m:t>S</m:t>
                      </m:r>
                    </m:e>
                  </m:acc>
                </m:e>
                <m:sub>
                  <m:r>
                    <m:rPr>
                      <m:nor/>
                      <m:sty m:val="p"/>
                    </m:rPr>
                    <m:t>new</m:t>
                  </m:r>
                </m:sub>
                <m:sup>
                  <m:r>
                    <m:t>2</m:t>
                  </m:r>
                </m:sup>
              </m:sSubSup>
              <m:d>
                <m:dPr>
                  <m:begChr m:val="("/>
                  <m:sepChr m:val=""/>
                  <m:endChr m:val=")"/>
                  <m:grow/>
                </m:dPr>
                <m:e>
                  <m:r>
                    <m:t>t</m:t>
                  </m:r>
                </m:e>
              </m:d>
              <m:d>
                <m:dPr>
                  <m:begChr m:val="["/>
                  <m:sepChr m:val=""/>
                  <m:endChr m:val="]"/>
                  <m:grow/>
                </m:dPr>
                <m:e>
                  <m:nary>
                    <m:naryPr>
                      <m:chr m:val="∑"/>
                      <m:limLoc m:val="undOvr"/>
                      <m:subHide m:val="off"/>
                      <m:supHide m:val="on"/>
                    </m:naryPr>
                    <m:sub>
                      <m:r>
                        <m:t>j</m:t>
                      </m:r>
                      <m:r>
                        <m:rPr>
                          <m:sty m:val="p"/>
                        </m:rPr>
                        <m:t>:</m:t>
                      </m:r>
                      <m:sSub>
                        <m:e>
                          <m:r>
                            <m:t>t</m:t>
                          </m:r>
                        </m:e>
                        <m:sub>
                          <m:r>
                            <m:t>j</m:t>
                          </m:r>
                        </m:sub>
                      </m:sSub>
                      <m:r>
                        <m:rPr>
                          <m:sty m:val="p"/>
                        </m:rPr>
                        <m:t>≤</m:t>
                      </m:r>
                      <m:r>
                        <m:t>t</m:t>
                      </m:r>
                    </m:sub>
                    <m:sup>
                      <m:r>
                        <m:t>​</m:t>
                      </m:r>
                    </m:sup>
                    <m:e>
                      <m:f>
                        <m:fPr>
                          <m:type m:val="bar"/>
                        </m:fPr>
                        <m:num>
                          <m:sSub>
                            <m:e>
                              <m:r>
                                <m:t>d</m:t>
                              </m:r>
                            </m:e>
                            <m:sub>
                              <m:r>
                                <m:t>j</m:t>
                              </m:r>
                            </m:sub>
                          </m:sSub>
                        </m:num>
                        <m:den>
                          <m:sSup>
                            <m:e>
                              <m:d>
                                <m:dPr>
                                  <m:begChr m:val="("/>
                                  <m:sepChr m:val=""/>
                                  <m:endChr m:val=")"/>
                                  <m:grow/>
                                </m:dPr>
                                <m:e>
                                  <m:nary>
                                    <m:naryPr>
                                      <m:chr m:val="∑"/>
                                      <m:limLoc m:val="undOvr"/>
                                      <m:subHide m:val="off"/>
                                      <m:supHide m:val="on"/>
                                    </m:naryPr>
                                    <m:sub>
                                      <m:r>
                                        <m:t>i</m:t>
                                      </m:r>
                                      <m:r>
                                        <m:rPr>
                                          <m:sty m:val="p"/>
                                        </m:rPr>
                                        <m:t>∈</m:t>
                                      </m:r>
                                      <m:sSub>
                                        <m:e>
                                          <m:r>
                                            <m:t>R</m:t>
                                          </m:r>
                                        </m:e>
                                        <m:sub>
                                          <m:r>
                                            <m:t>j</m:t>
                                          </m:r>
                                        </m:sub>
                                      </m:sSub>
                                    </m:sub>
                                    <m:sup>
                                      <m:r>
                                        <m:t>​</m:t>
                                      </m:r>
                                    </m:sup>
                                    <m:e>
                                      <m:r>
                                        <m:rPr>
                                          <m:sty m:val="p"/>
                                        </m:rPr>
                                        <m:t>exp</m:t>
                                      </m:r>
                                    </m:e>
                                  </m:nary>
                                  <m:d>
                                    <m:dPr>
                                      <m:begChr m:val="("/>
                                      <m:sepChr m:val=""/>
                                      <m:endChr m:val=")"/>
                                      <m:grow/>
                                    </m:dPr>
                                    <m:e>
                                      <m:sSup>
                                        <m:e>
                                          <m:acc>
                                            <m:accPr>
                                              <m:chr m:val="̂"/>
                                            </m:accPr>
                                            <m:e>
                                              <m:r>
                                                <m:t>β</m:t>
                                              </m:r>
                                            </m:e>
                                          </m:acc>
                                        </m:e>
                                        <m:sup>
                                          <m:r>
                                            <m:rPr>
                                              <m:sty m:val="p"/>
                                            </m:rPr>
                                            <m:t>⊤</m:t>
                                          </m:r>
                                        </m:sup>
                                      </m:sSup>
                                      <m:sSub>
                                        <m:e>
                                          <m:r>
                                            <m:t>x</m:t>
                                          </m:r>
                                        </m:e>
                                        <m:sub>
                                          <m:r>
                                            <m:t>i</m:t>
                                          </m:r>
                                        </m:sub>
                                      </m:sSub>
                                    </m:e>
                                  </m:d>
                                </m:e>
                              </m:d>
                            </m:e>
                            <m:sup>
                              <m:r>
                                <m:t>2</m:t>
                              </m:r>
                            </m:sup>
                          </m:sSup>
                        </m:den>
                      </m:f>
                    </m:e>
                  </m:nary>
                  <m:r>
                    <m:rPr>
                      <m:sty m:val="p"/>
                    </m:rPr>
                    <m:t>+</m:t>
                  </m:r>
                  <m:sSup>
                    <m:e>
                      <m:r>
                        <m:t>w</m:t>
                      </m:r>
                    </m:e>
                    <m:sup>
                      <m:r>
                        <m:rPr>
                          <m:sty m:val="p"/>
                        </m:rPr>
                        <m:t>⊤</m:t>
                      </m:r>
                    </m:sup>
                  </m:sSup>
                  <m:r>
                    <m:t>I</m:t>
                  </m:r>
                  <m:sSup>
                    <m:e>
                      <m:d>
                        <m:dPr>
                          <m:begChr m:val="("/>
                          <m:sepChr m:val=""/>
                          <m:endChr m:val=")"/>
                          <m:grow/>
                        </m:dPr>
                        <m:e>
                          <m:acc>
                            <m:accPr>
                              <m:chr m:val="̂"/>
                            </m:accPr>
                            <m:e>
                              <m:r>
                                <m:t>β</m:t>
                              </m:r>
                            </m:e>
                          </m:acc>
                        </m:e>
                      </m:d>
                    </m:e>
                    <m:sup>
                      <m:r>
                        <m:rPr>
                          <m:sty m:val="p"/>
                        </m:rPr>
                        <m:t>−</m:t>
                      </m:r>
                      <m:r>
                        <m:t>1</m:t>
                      </m:r>
                    </m:sup>
                  </m:sSup>
                  <m:r>
                    <m:t>w</m:t>
                  </m:r>
                </m:e>
              </m:d>
            </m:den>
          </m:f>
          <m:r>
            <m:rPr>
              <m:sty m:val="p"/>
            </m:rPr>
            <m:t>.</m:t>
          </m:r>
        </m:oMath>
      </m:oMathPara>
    </w:p>
    <w:bookmarkEnd w:id="21"/>
    <w:bookmarkStart w:id="22" w:name="X9e3c21b63e74992d5e5b7a1ec5436a77a8eeac5"/>
    <w:p>
      <w:pPr>
        <w:pStyle w:val="Heading1"/>
      </w:pPr>
      <w:r>
        <w:t xml:space="preserve">3. Supplement 3: Efficiency Breslow vs Nelson-Aalen</w:t>
      </w:r>
    </w:p>
    <w:p>
      <w:pPr>
        <w:pStyle w:val="FirstParagraph"/>
      </w:pPr>
      <w:r>
        <w:t xml:space="preserve">To understand why the effective sample size</w:t>
      </w:r>
      <w:r>
        <w:t xml:space="preserve"> </w:t>
      </w:r>
      <m:oMath>
        <m:sSub>
          <m:e>
            <m:r>
              <m:t>N</m:t>
            </m:r>
          </m:e>
          <m:sub>
            <m:r>
              <m:rPr>
                <m:sty m:val="p"/>
              </m:rPr>
              <m:t>*</m:t>
            </m:r>
          </m:sub>
        </m:sSub>
      </m:oMath>
      <w:r>
        <w:t xml:space="preserve"> </w:t>
      </w:r>
      <w:r>
        <w:t xml:space="preserve">can exceed the development sample size</w:t>
      </w:r>
      <w:r>
        <w:t xml:space="preserve"> </w:t>
      </w:r>
      <m:oMath>
        <m:r>
          <m:t>N</m:t>
        </m:r>
      </m:oMath>
      <w:r>
        <w:t xml:space="preserve">, we compare the variance of the hazard increments in a non-parametric setting versus the Cox proportional hazards setting.</w:t>
      </w:r>
    </w:p>
    <w:p>
      <w:pPr>
        <w:pStyle w:val="BodyText"/>
      </w:pPr>
      <w:r>
        <w:t xml:space="preserve">In the absence of covariates, the Nelson-Aalen estimator for the cumulative hazard is</w:t>
      </w:r>
      <w:r>
        <w:t xml:space="preserve"> </w:t>
      </w:r>
      <m:oMath>
        <m:acc>
          <m:accPr>
            <m:chr m:val="̂"/>
          </m:accPr>
          <m:e>
            <m:r>
              <m:t>H</m:t>
            </m:r>
          </m:e>
        </m:acc>
        <m:d>
          <m:dPr>
            <m:begChr m:val="("/>
            <m:sepChr m:val=""/>
            <m:endChr m:val=")"/>
            <m:grow/>
          </m:dPr>
          <m:e>
            <m:r>
              <m:t>t</m:t>
            </m:r>
          </m:e>
        </m:d>
        <m:r>
          <m:rPr>
            <m:sty m:val="p"/>
          </m:rPr>
          <m:t>=</m:t>
        </m:r>
        <m:nary>
          <m:naryPr>
            <m:chr m:val="∑"/>
            <m:limLoc m:val="undOvr"/>
            <m:subHide m:val="off"/>
            <m:supHide m:val="on"/>
          </m:naryPr>
          <m:sub>
            <m:sSub>
              <m:e>
                <m:r>
                  <m:t>t</m:t>
                </m:r>
              </m:e>
              <m:sub>
                <m:r>
                  <m:t>j</m:t>
                </m:r>
              </m:sub>
            </m:sSub>
            <m:r>
              <m:rPr>
                <m:sty m:val="p"/>
              </m:rPr>
              <m:t>≤</m:t>
            </m:r>
            <m:r>
              <m:t>t</m:t>
            </m:r>
          </m:sub>
          <m:sup>
            <m:r>
              <m:t>​</m:t>
            </m:r>
          </m:sup>
          <m:e>
            <m:f>
              <m:fPr>
                <m:type m:val="bar"/>
              </m:fPr>
              <m:num>
                <m:sSub>
                  <m:e>
                    <m:r>
                      <m:t>d</m:t>
                    </m:r>
                  </m:e>
                  <m:sub>
                    <m:r>
                      <m:t>j</m:t>
                    </m:r>
                  </m:sub>
                </m:sSub>
              </m:num>
              <m:den>
                <m:sSub>
                  <m:e>
                    <m:r>
                      <m:t>n</m:t>
                    </m:r>
                  </m:e>
                  <m:sub>
                    <m:r>
                      <m:t>j</m:t>
                    </m:r>
                  </m:sub>
                </m:sSub>
              </m:den>
            </m:f>
          </m:e>
        </m:nary>
      </m:oMath>
      <w:r>
        <w:t xml:space="preserve">. The variance of a single hazard increment at event time</w:t>
      </w:r>
      <w:r>
        <w:t xml:space="preserve"> </w:t>
      </w:r>
      <m:oMath>
        <m:sSub>
          <m:e>
            <m:r>
              <m:t>t</m:t>
            </m:r>
          </m:e>
          <m:sub>
            <m:r>
              <m:t>j</m:t>
            </m:r>
          </m:sub>
        </m:sSub>
      </m:oMath>
      <w:r>
        <w:t xml:space="preserve"> </w:t>
      </w:r>
      <w:r>
        <w:t xml:space="preserve">is given by:</w:t>
      </w:r>
    </w:p>
    <w:p>
      <w:pPr>
        <w:pStyle w:val="BodyText"/>
      </w:pPr>
      <m:oMathPara>
        <m:oMathParaPr>
          <m:jc m:val="center"/>
        </m:oMathParaPr>
        <m:oMath>
          <m:r>
            <m:t>V</m:t>
          </m:r>
          <m:r>
            <m:t>a</m:t>
          </m:r>
          <m:r>
            <m:t>r</m:t>
          </m:r>
          <m:d>
            <m:dPr>
              <m:begChr m:val="("/>
              <m:sepChr m:val=""/>
              <m:endChr m:val=")"/>
              <m:grow/>
            </m:dPr>
            <m:e>
              <m:r>
                <m:t>Δ</m:t>
              </m:r>
              <m:sSub>
                <m:e>
                  <m:acc>
                    <m:accPr>
                      <m:chr m:val="̂"/>
                    </m:accPr>
                    <m:e>
                      <m:r>
                        <m:t>H</m:t>
                      </m:r>
                    </m:e>
                  </m:acc>
                </m:e>
                <m:sub>
                  <m:r>
                    <m:t>N</m:t>
                  </m:r>
                  <m:r>
                    <m:t>A</m:t>
                  </m:r>
                </m:sub>
              </m:sSub>
              <m:d>
                <m:dPr>
                  <m:begChr m:val="("/>
                  <m:sepChr m:val=""/>
                  <m:endChr m:val=")"/>
                  <m:grow/>
                </m:dPr>
                <m:e>
                  <m:sSub>
                    <m:e>
                      <m:r>
                        <m:t>t</m:t>
                      </m:r>
                    </m:e>
                    <m:sub>
                      <m:r>
                        <m:t>j</m:t>
                      </m:r>
                    </m:sub>
                  </m:sSub>
                </m:e>
              </m:d>
            </m:e>
          </m:d>
          <m:r>
            <m:rPr>
              <m:sty m:val="p"/>
            </m:rPr>
            <m:t>=</m:t>
          </m:r>
          <m:f>
            <m:fPr>
              <m:type m:val="bar"/>
            </m:fPr>
            <m:num>
              <m:sSub>
                <m:e>
                  <m:r>
                    <m:t>d</m:t>
                  </m:r>
                </m:e>
                <m:sub>
                  <m:r>
                    <m:t>j</m:t>
                  </m:r>
                </m:sub>
              </m:sSub>
            </m:num>
            <m:den>
              <m:sSubSup>
                <m:e>
                  <m:r>
                    <m:t>n</m:t>
                  </m:r>
                </m:e>
                <m:sub>
                  <m:r>
                    <m:t>j</m:t>
                  </m:r>
                </m:sub>
                <m:sup>
                  <m:r>
                    <m:t>2</m:t>
                  </m:r>
                </m:sup>
              </m:sSubSup>
            </m:den>
          </m:f>
        </m:oMath>
      </m:oMathPara>
    </w:p>
    <w:p>
      <w:pPr>
        <w:pStyle w:val="FirstParagraph"/>
      </w:pPr>
      <w:r>
        <w:t xml:space="preserve">where</w:t>
      </w:r>
      <w:r>
        <w:t xml:space="preserve"> </w:t>
      </w:r>
      <m:oMath>
        <m:sSub>
          <m:e>
            <m:r>
              <m:t>d</m:t>
            </m:r>
          </m:e>
          <m:sub>
            <m:r>
              <m:t>j</m:t>
            </m:r>
          </m:sub>
        </m:sSub>
      </m:oMath>
      <w:r>
        <w:t xml:space="preserve"> </w:t>
      </w:r>
      <w:r>
        <w:t xml:space="preserve">is the number of events and</w:t>
      </w:r>
      <w:r>
        <w:t xml:space="preserve"> </w:t>
      </w:r>
      <m:oMath>
        <m:sSub>
          <m:e>
            <m:r>
              <m:t>n</m:t>
            </m:r>
          </m:e>
          <m:sub>
            <m:r>
              <m:t>j</m:t>
            </m:r>
          </m:sub>
        </m:sSub>
      </m:oMath>
      <w:r>
        <w:t xml:space="preserve"> </w:t>
      </w:r>
      <w:r>
        <w:t xml:space="preserve">is the number of individuals in the risk set</w:t>
      </w:r>
      <w:r>
        <w:t xml:space="preserve"> </w:t>
      </w:r>
      <m:oMath>
        <m:sSub>
          <m:e>
            <m:r>
              <m:t>R</m:t>
            </m:r>
          </m:e>
          <m:sub>
            <m:r>
              <m:t>j</m:t>
            </m:r>
          </m:sub>
        </m:sSub>
      </m:oMath>
      <w:r>
        <w:t xml:space="preserve">.</w:t>
      </w:r>
    </w:p>
    <w:p>
      <w:pPr>
        <w:pStyle w:val="BodyText"/>
      </w:pPr>
      <w:r>
        <w:t xml:space="preserve">In the Cox model, the predicted hazard increment for a new patient with covariate profile</w:t>
      </w:r>
      <w:r>
        <w:t xml:space="preserve"> </w:t>
      </w:r>
      <m:oMath>
        <m:sSub>
          <m:e>
            <m:r>
              <m:t>x</m:t>
            </m:r>
          </m:e>
          <m:sub>
            <m:r>
              <m:t>n</m:t>
            </m:r>
            <m:r>
              <m:t>e</m:t>
            </m:r>
            <m:r>
              <m:t>w</m:t>
            </m:r>
          </m:sub>
        </m:sSub>
      </m:oMath>
      <w:r>
        <w:t xml:space="preserve"> </w:t>
      </w:r>
      <w:r>
        <w:t xml:space="preserve">is</w:t>
      </w:r>
      <w:r>
        <w:t xml:space="preserve"> </w:t>
      </w:r>
      <m:oMath>
        <m:r>
          <m:t>Δ</m:t>
        </m:r>
        <m:sSub>
          <m:e>
            <m:acc>
              <m:accPr>
                <m:chr m:val="̂"/>
              </m:accPr>
              <m:e>
                <m:r>
                  <m:t>H</m:t>
                </m:r>
              </m:e>
            </m:acc>
          </m:e>
          <m:sub>
            <m:r>
              <m:t>n</m:t>
            </m:r>
            <m:r>
              <m:t>e</m:t>
            </m:r>
            <m:r>
              <m:t>w</m:t>
            </m:r>
          </m:sub>
        </m:sSub>
        <m:d>
          <m:dPr>
            <m:begChr m:val="("/>
            <m:sepChr m:val=""/>
            <m:endChr m:val=")"/>
            <m:grow/>
          </m:dPr>
          <m:e>
            <m:sSub>
              <m:e>
                <m:r>
                  <m:t>t</m:t>
                </m:r>
              </m:e>
              <m:sub>
                <m:r>
                  <m:t>j</m:t>
                </m:r>
              </m:sub>
            </m:sSub>
          </m:e>
        </m:d>
        <m:r>
          <m:rPr>
            <m:sty m:val="p"/>
          </m:rPr>
          <m:t>=</m:t>
        </m:r>
        <m:r>
          <m:t>Δ</m:t>
        </m:r>
        <m:sSub>
          <m:e>
            <m:acc>
              <m:accPr>
                <m:chr m:val="̂"/>
              </m:accPr>
              <m:e>
                <m:r>
                  <m:t>H</m:t>
                </m:r>
              </m:e>
            </m:acc>
          </m:e>
          <m:sub>
            <m:r>
              <m:t>0</m:t>
            </m:r>
          </m:sub>
        </m:sSub>
        <m:d>
          <m:dPr>
            <m:begChr m:val="("/>
            <m:sepChr m:val=""/>
            <m:endChr m:val=")"/>
            <m:grow/>
          </m:dPr>
          <m:e>
            <m:sSub>
              <m:e>
                <m:r>
                  <m:t>t</m:t>
                </m:r>
              </m:e>
              <m:sub>
                <m:r>
                  <m:t>j</m:t>
                </m:r>
              </m:sub>
            </m:sSub>
          </m:e>
        </m:d>
        <m:sSup>
          <m:e>
            <m:r>
              <m:t>e</m:t>
            </m:r>
          </m:e>
          <m:sup>
            <m:sSup>
              <m:e>
                <m:acc>
                  <m:accPr>
                    <m:chr m:val="̂"/>
                  </m:accPr>
                  <m:e>
                    <m:r>
                      <m:t>β</m:t>
                    </m:r>
                  </m:e>
                </m:acc>
              </m:e>
              <m:sup>
                <m:r>
                  <m:rPr>
                    <m:sty m:val="p"/>
                  </m:rPr>
                  <m:t>⊤</m:t>
                </m:r>
              </m:sup>
            </m:sSup>
            <m:sSub>
              <m:e>
                <m:r>
                  <m:t>x</m:t>
                </m:r>
              </m:e>
              <m:sub>
                <m:r>
                  <m:t>n</m:t>
                </m:r>
                <m:r>
                  <m:t>e</m:t>
                </m:r>
                <m:r>
                  <m:t>w</m:t>
                </m:r>
              </m:sub>
            </m:sSub>
          </m:sup>
        </m:sSup>
      </m:oMath>
      <w:r>
        <w:t xml:space="preserve">. Considering only the variance component stemming from the baseline hazard (treating</w:t>
      </w:r>
      <w:r>
        <w:t xml:space="preserve"> </w:t>
      </w:r>
      <m:oMath>
        <m:r>
          <m:t>β</m:t>
        </m:r>
      </m:oMath>
      <w:r>
        <w:t xml:space="preserve"> </w:t>
      </w:r>
      <w:r>
        <w:t xml:space="preserve">as fixed), the variance is:</w:t>
      </w:r>
    </w:p>
    <w:p>
      <w:pPr>
        <w:pStyle w:val="BodyText"/>
      </w:pPr>
      <m:oMathPara>
        <m:oMathParaPr>
          <m:jc m:val="center"/>
        </m:oMathParaPr>
        <m:oMath>
          <m:r>
            <m:t>V</m:t>
          </m:r>
          <m:r>
            <m:t>a</m:t>
          </m:r>
          <m:r>
            <m:t>r</m:t>
          </m:r>
          <m:d>
            <m:dPr>
              <m:begChr m:val="("/>
              <m:sepChr m:val=""/>
              <m:endChr m:val=")"/>
              <m:grow/>
            </m:dPr>
            <m:e>
              <m:r>
                <m:t>Δ</m:t>
              </m:r>
              <m:sSub>
                <m:e>
                  <m:acc>
                    <m:accPr>
                      <m:chr m:val="̂"/>
                    </m:accPr>
                    <m:e>
                      <m:r>
                        <m:t>H</m:t>
                      </m:r>
                    </m:e>
                  </m:acc>
                </m:e>
                <m:sub>
                  <m:r>
                    <m:t>0</m:t>
                  </m:r>
                </m:sub>
              </m:sSub>
              <m:d>
                <m:dPr>
                  <m:begChr m:val="("/>
                  <m:sepChr m:val=""/>
                  <m:endChr m:val=")"/>
                  <m:grow/>
                </m:dPr>
                <m:e>
                  <m:sSub>
                    <m:e>
                      <m:r>
                        <m:t>t</m:t>
                      </m:r>
                    </m:e>
                    <m:sub>
                      <m:r>
                        <m:t>j</m:t>
                      </m:r>
                    </m:sub>
                  </m:sSub>
                </m:e>
              </m:d>
              <m:sSup>
                <m:e>
                  <m:r>
                    <m:t>e</m:t>
                  </m:r>
                </m:e>
                <m:sup>
                  <m:sSup>
                    <m:e>
                      <m:r>
                        <m:t>β</m:t>
                      </m:r>
                    </m:e>
                    <m:sup>
                      <m:r>
                        <m:rPr>
                          <m:sty m:val="p"/>
                        </m:rPr>
                        <m:t>⊤</m:t>
                      </m:r>
                    </m:sup>
                  </m:sSup>
                  <m:sSub>
                    <m:e>
                      <m:r>
                        <m:t>x</m:t>
                      </m:r>
                    </m:e>
                    <m:sub>
                      <m:r>
                        <m:t>n</m:t>
                      </m:r>
                      <m:r>
                        <m:t>e</m:t>
                      </m:r>
                      <m:r>
                        <m:t>w</m:t>
                      </m:r>
                    </m:sub>
                  </m:sSub>
                </m:sup>
              </m:sSup>
              <m:r>
                <m:rPr>
                  <m:sty m:val="p"/>
                </m:rPr>
                <m:t>∣</m:t>
              </m:r>
              <m:r>
                <m:t>β</m:t>
              </m:r>
            </m:e>
          </m:d>
          <m:r>
            <m:rPr>
              <m:sty m:val="p"/>
            </m:rPr>
            <m:t>=</m:t>
          </m:r>
          <m:sSup>
            <m:e>
              <m:d>
                <m:dPr>
                  <m:begChr m:val="("/>
                  <m:sepChr m:val=""/>
                  <m:endChr m:val=")"/>
                  <m:grow/>
                </m:dPr>
                <m:e>
                  <m:sSup>
                    <m:e>
                      <m:r>
                        <m:t>e</m:t>
                      </m:r>
                    </m:e>
                    <m:sup>
                      <m:sSup>
                        <m:e>
                          <m:r>
                            <m:t>β</m:t>
                          </m:r>
                        </m:e>
                        <m:sup>
                          <m:r>
                            <m:rPr>
                              <m:sty m:val="p"/>
                            </m:rPr>
                            <m:t>⊤</m:t>
                          </m:r>
                        </m:sup>
                      </m:sSup>
                      <m:sSub>
                        <m:e>
                          <m:r>
                            <m:t>x</m:t>
                          </m:r>
                        </m:e>
                        <m:sub>
                          <m:r>
                            <m:t>n</m:t>
                          </m:r>
                          <m:r>
                            <m:t>e</m:t>
                          </m:r>
                          <m:r>
                            <m:t>w</m:t>
                          </m:r>
                        </m:sub>
                      </m:sSub>
                    </m:sup>
                  </m:sSup>
                </m:e>
              </m:d>
            </m:e>
            <m:sup>
              <m:r>
                <m:t>2</m:t>
              </m:r>
            </m:sup>
          </m:sSup>
          <m:f>
            <m:fPr>
              <m:type m:val="bar"/>
            </m:fPr>
            <m:num>
              <m:sSub>
                <m:e>
                  <m:r>
                    <m:t>d</m:t>
                  </m:r>
                </m:e>
                <m:sub>
                  <m:r>
                    <m:t>j</m:t>
                  </m:r>
                </m:sub>
              </m:sSub>
            </m:num>
            <m:den>
              <m:sSup>
                <m:e>
                  <m:d>
                    <m:dPr>
                      <m:begChr m:val="("/>
                      <m:sepChr m:val=""/>
                      <m:endChr m:val=")"/>
                      <m:grow/>
                    </m:dPr>
                    <m:e>
                      <m:nary>
                        <m:naryPr>
                          <m:chr m:val="∑"/>
                          <m:limLoc m:val="undOvr"/>
                          <m:subHide m:val="off"/>
                          <m:supHide m:val="on"/>
                        </m:naryPr>
                        <m:sub>
                          <m:r>
                            <m:t>i</m:t>
                          </m:r>
                          <m:r>
                            <m:rPr>
                              <m:sty m:val="p"/>
                            </m:rPr>
                            <m:t>∈</m:t>
                          </m:r>
                          <m:sSub>
                            <m:e>
                              <m:r>
                                <m:t>R</m:t>
                              </m:r>
                            </m:e>
                            <m:sub>
                              <m:r>
                                <m:t>j</m:t>
                              </m:r>
                            </m:sub>
                          </m:sSub>
                        </m:sub>
                        <m:sup>
                          <m:r>
                            <m:t>​</m:t>
                          </m:r>
                        </m:sup>
                        <m:e>
                          <m:sSup>
                            <m:e>
                              <m:r>
                                <m:t>e</m:t>
                              </m:r>
                            </m:e>
                            <m:sup>
                              <m:sSup>
                                <m:e>
                                  <m:r>
                                    <m:t>β</m:t>
                                  </m:r>
                                </m:e>
                                <m:sup>
                                  <m:r>
                                    <m:rPr>
                                      <m:sty m:val="p"/>
                                    </m:rPr>
                                    <m:t>⊤</m:t>
                                  </m:r>
                                </m:sup>
                              </m:sSup>
                              <m:sSub>
                                <m:e>
                                  <m:r>
                                    <m:t>x</m:t>
                                  </m:r>
                                </m:e>
                                <m:sub>
                                  <m:r>
                                    <m:t>i</m:t>
                                  </m:r>
                                </m:sub>
                              </m:sSub>
                            </m:sup>
                          </m:sSup>
                        </m:e>
                      </m:nary>
                    </m:e>
                  </m:d>
                </m:e>
                <m:sup>
                  <m:r>
                    <m:t>2</m:t>
                  </m:r>
                </m:sup>
              </m:sSup>
            </m:den>
          </m:f>
        </m:oMath>
      </m:oMathPara>
    </w:p>
    <w:p>
      <w:pPr>
        <w:pStyle w:val="FirstParagraph"/>
      </w:pPr>
      <w:r>
        <w:t xml:space="preserve">The Cox model provides a more precise estimate (lower variance) than the Nelson-Aalen estimator at time</w:t>
      </w:r>
      <w:r>
        <w:t xml:space="preserve"> </w:t>
      </w:r>
      <m:oMath>
        <m:sSub>
          <m:e>
            <m:r>
              <m:t>t</m:t>
            </m:r>
          </m:e>
          <m:sub>
            <m:r>
              <m:t>j</m:t>
            </m:r>
          </m:sub>
        </m:sSub>
      </m:oMath>
      <w:r>
        <w:t xml:space="preserve"> </w:t>
      </w:r>
      <w:r>
        <w:t xml:space="preserve">when:</w:t>
      </w:r>
    </w:p>
    <w:p>
      <w:pPr>
        <w:pStyle w:val="BodyText"/>
      </w:pPr>
      <m:oMathPara>
        <m:oMathParaPr>
          <m:jc m:val="center"/>
        </m:oMathParaPr>
        <m:oMath>
          <m:sSup>
            <m:e>
              <m:d>
                <m:dPr>
                  <m:begChr m:val="("/>
                  <m:sepChr m:val=""/>
                  <m:endChr m:val=")"/>
                  <m:grow/>
                </m:dPr>
                <m:e>
                  <m:sSup>
                    <m:e>
                      <m:r>
                        <m:t>e</m:t>
                      </m:r>
                    </m:e>
                    <m:sup>
                      <m:sSup>
                        <m:e>
                          <m:r>
                            <m:t>β</m:t>
                          </m:r>
                        </m:e>
                        <m:sup>
                          <m:r>
                            <m:rPr>
                              <m:sty m:val="p"/>
                            </m:rPr>
                            <m:t>⊤</m:t>
                          </m:r>
                        </m:sup>
                      </m:sSup>
                      <m:sSub>
                        <m:e>
                          <m:r>
                            <m:t>x</m:t>
                          </m:r>
                        </m:e>
                        <m:sub>
                          <m:r>
                            <m:t>n</m:t>
                          </m:r>
                          <m:r>
                            <m:t>e</m:t>
                          </m:r>
                          <m:r>
                            <m:t>w</m:t>
                          </m:r>
                        </m:sub>
                      </m:sSub>
                    </m:sup>
                  </m:sSup>
                </m:e>
              </m:d>
            </m:e>
            <m:sup>
              <m:r>
                <m:t>2</m:t>
              </m:r>
            </m:sup>
          </m:sSup>
          <m:f>
            <m:fPr>
              <m:type m:val="bar"/>
            </m:fPr>
            <m:num>
              <m:sSub>
                <m:e>
                  <m:r>
                    <m:t>d</m:t>
                  </m:r>
                </m:e>
                <m:sub>
                  <m:r>
                    <m:t>j</m:t>
                  </m:r>
                </m:sub>
              </m:sSub>
            </m:num>
            <m:den>
              <m:sSup>
                <m:e>
                  <m:d>
                    <m:dPr>
                      <m:begChr m:val="("/>
                      <m:sepChr m:val=""/>
                      <m:endChr m:val=")"/>
                      <m:grow/>
                    </m:dPr>
                    <m:e>
                      <m:nary>
                        <m:naryPr>
                          <m:chr m:val="∑"/>
                          <m:limLoc m:val="undOvr"/>
                          <m:subHide m:val="off"/>
                          <m:supHide m:val="on"/>
                        </m:naryPr>
                        <m:sub>
                          <m:r>
                            <m:t>i</m:t>
                          </m:r>
                          <m:r>
                            <m:rPr>
                              <m:sty m:val="p"/>
                            </m:rPr>
                            <m:t>∈</m:t>
                          </m:r>
                          <m:sSub>
                            <m:e>
                              <m:r>
                                <m:t>R</m:t>
                              </m:r>
                            </m:e>
                            <m:sub>
                              <m:r>
                                <m:t>j</m:t>
                              </m:r>
                            </m:sub>
                          </m:sSub>
                        </m:sub>
                        <m:sup>
                          <m:r>
                            <m:t>​</m:t>
                          </m:r>
                        </m:sup>
                        <m:e>
                          <m:sSup>
                            <m:e>
                              <m:r>
                                <m:t>e</m:t>
                              </m:r>
                            </m:e>
                            <m:sup>
                              <m:sSup>
                                <m:e>
                                  <m:r>
                                    <m:t>β</m:t>
                                  </m:r>
                                </m:e>
                                <m:sup>
                                  <m:r>
                                    <m:rPr>
                                      <m:sty m:val="p"/>
                                    </m:rPr>
                                    <m:t>⊤</m:t>
                                  </m:r>
                                </m:sup>
                              </m:sSup>
                              <m:sSub>
                                <m:e>
                                  <m:r>
                                    <m:t>x</m:t>
                                  </m:r>
                                </m:e>
                                <m:sub>
                                  <m:r>
                                    <m:t>i</m:t>
                                  </m:r>
                                </m:sub>
                              </m:sSub>
                            </m:sup>
                          </m:sSup>
                        </m:e>
                      </m:nary>
                    </m:e>
                  </m:d>
                </m:e>
                <m:sup>
                  <m:r>
                    <m:t>2</m:t>
                  </m:r>
                </m:sup>
              </m:sSup>
            </m:den>
          </m:f>
          <m:r>
            <m:rPr>
              <m:sty m:val="p"/>
            </m:rPr>
            <m:t>&lt;</m:t>
          </m:r>
          <m:f>
            <m:fPr>
              <m:type m:val="bar"/>
            </m:fPr>
            <m:num>
              <m:sSub>
                <m:e>
                  <m:r>
                    <m:t>d</m:t>
                  </m:r>
                </m:e>
                <m:sub>
                  <m:r>
                    <m:t>j</m:t>
                  </m:r>
                </m:sub>
              </m:sSub>
            </m:num>
            <m:den>
              <m:sSubSup>
                <m:e>
                  <m:r>
                    <m:t>n</m:t>
                  </m:r>
                </m:e>
                <m:sub>
                  <m:r>
                    <m:t>j</m:t>
                  </m:r>
                </m:sub>
                <m:sup>
                  <m:r>
                    <m:t>2</m:t>
                  </m:r>
                </m:sup>
              </m:sSubSup>
            </m:den>
          </m:f>
        </m:oMath>
      </m:oMathPara>
    </w:p>
    <w:p>
      <w:pPr>
        <w:pStyle w:val="FirstParagraph"/>
      </w:pPr>
      <w:r>
        <w:t xml:space="preserve">Taking the square root and rearranging, this simplifies to:</w:t>
      </w:r>
    </w:p>
    <w:p>
      <w:pPr>
        <w:pStyle w:val="BodyText"/>
      </w:pPr>
      <m:oMathPara>
        <m:oMathParaPr>
          <m:jc m:val="center"/>
        </m:oMathParaPr>
        <m:oMath>
          <m:sSup>
            <m:e>
              <m:r>
                <m:t>e</m:t>
              </m:r>
            </m:e>
            <m:sup>
              <m:sSup>
                <m:e>
                  <m:r>
                    <m:t>β</m:t>
                  </m:r>
                </m:e>
                <m:sup>
                  <m:r>
                    <m:rPr>
                      <m:sty m:val="p"/>
                    </m:rPr>
                    <m:t>⊤</m:t>
                  </m:r>
                </m:sup>
              </m:sSup>
              <m:sSub>
                <m:e>
                  <m:r>
                    <m:t>x</m:t>
                  </m:r>
                </m:e>
                <m:sub>
                  <m:r>
                    <m:t>n</m:t>
                  </m:r>
                  <m:r>
                    <m:t>e</m:t>
                  </m:r>
                  <m:r>
                    <m:t>w</m:t>
                  </m:r>
                </m:sub>
              </m:sSub>
            </m:sup>
          </m:sSup>
          <m:r>
            <m:rPr>
              <m:sty m:val="p"/>
            </m:rPr>
            <m:t>&lt;</m:t>
          </m:r>
          <m:f>
            <m:fPr>
              <m:type m:val="bar"/>
            </m:fPr>
            <m:num>
              <m:nary>
                <m:naryPr>
                  <m:chr m:val="∑"/>
                  <m:limLoc m:val="undOvr"/>
                  <m:subHide m:val="off"/>
                  <m:supHide m:val="on"/>
                </m:naryPr>
                <m:sub>
                  <m:r>
                    <m:t>i</m:t>
                  </m:r>
                  <m:r>
                    <m:rPr>
                      <m:sty m:val="p"/>
                    </m:rPr>
                    <m:t>∈</m:t>
                  </m:r>
                  <m:sSub>
                    <m:e>
                      <m:r>
                        <m:t>R</m:t>
                      </m:r>
                    </m:e>
                    <m:sub>
                      <m:r>
                        <m:t>j</m:t>
                      </m:r>
                    </m:sub>
                  </m:sSub>
                </m:sub>
                <m:sup>
                  <m:r>
                    <m:t>​</m:t>
                  </m:r>
                </m:sup>
                <m:e>
                  <m:sSup>
                    <m:e>
                      <m:r>
                        <m:t>e</m:t>
                      </m:r>
                    </m:e>
                    <m:sup>
                      <m:sSup>
                        <m:e>
                          <m:r>
                            <m:t>β</m:t>
                          </m:r>
                        </m:e>
                        <m:sup>
                          <m:r>
                            <m:rPr>
                              <m:sty m:val="p"/>
                            </m:rPr>
                            <m:t>⊤</m:t>
                          </m:r>
                        </m:sup>
                      </m:sSup>
                      <m:sSub>
                        <m:e>
                          <m:r>
                            <m:t>x</m:t>
                          </m:r>
                        </m:e>
                        <m:sub>
                          <m:r>
                            <m:t>i</m:t>
                          </m:r>
                        </m:sub>
                      </m:sSub>
                    </m:sup>
                  </m:sSup>
                </m:e>
              </m:nary>
            </m:num>
            <m:den>
              <m:sSub>
                <m:e>
                  <m:r>
                    <m:t>n</m:t>
                  </m:r>
                </m:e>
                <m:sub>
                  <m:r>
                    <m:t>j</m:t>
                  </m:r>
                </m:sub>
              </m:sSub>
            </m:den>
          </m:f>
        </m:oMath>
      </m:oMathPara>
    </w:p>
    <w:p>
      <w:pPr>
        <w:pStyle w:val="FirstParagraph"/>
      </w:pPr>
      <w:r>
        <w:t xml:space="preserve">This inequality demonstrates that the Cox model yields a lower prediction variance whenever the new patient’s risk score</w:t>
      </w:r>
      <w:r>
        <w:t xml:space="preserve"> </w:t>
      </w:r>
      <m:oMath>
        <m:sSup>
          <m:e>
            <m:r>
              <m:t>e</m:t>
            </m:r>
          </m:e>
          <m:sup>
            <m:sSup>
              <m:e>
                <m:r>
                  <m:t>β</m:t>
                </m:r>
              </m:e>
              <m:sup>
                <m:r>
                  <m:rPr>
                    <m:sty m:val="p"/>
                  </m:rPr>
                  <m:t>⊤</m:t>
                </m:r>
              </m:sup>
            </m:sSup>
            <m:sSub>
              <m:e>
                <m:r>
                  <m:t>x</m:t>
                </m:r>
              </m:e>
              <m:sub>
                <m:r>
                  <m:t>n</m:t>
                </m:r>
                <m:r>
                  <m:t>e</m:t>
                </m:r>
                <m:r>
                  <m:t>w</m:t>
                </m:r>
              </m:sub>
            </m:sSub>
          </m:sup>
        </m:sSup>
      </m:oMath>
      <w:r>
        <w:t xml:space="preserve"> </w:t>
      </w:r>
      <w:r>
        <w:t xml:space="preserve">is lower than the arithmetic mean of the risk scores currently in the risk set</w:t>
      </w:r>
      <w:r>
        <w:t xml:space="preserve"> </w:t>
      </w:r>
      <m:oMath>
        <m:sSub>
          <m:e>
            <m:r>
              <m:t>R</m:t>
            </m:r>
          </m:e>
          <m:sub>
            <m:r>
              <m:t>j</m:t>
            </m:r>
          </m:sub>
        </m:sSub>
      </m:oMath>
      <w:r>
        <w:t xml:space="preserve">.</w:t>
      </w:r>
    </w:p>
    <w:p>
      <w:pPr>
        <w:pStyle w:val="BodyText"/>
      </w:pPr>
      <w:r>
        <w:t xml:space="preserve">The informational efficiency of the Cox model stems from the proportional hazards assumption, which allows the model to utilize the entire longitudinal history of the cohort to estimate</w:t>
      </w:r>
      <w:r>
        <w:t xml:space="preserve"> </w:t>
      </w:r>
      <m:oMath>
        <m:r>
          <m:t>β</m:t>
        </m:r>
      </m:oMath>
      <w:r>
        <w:t xml:space="preserve">. While the Nelson-Aalen estimator treats all individuals at risk as identical units, the Cox model utilizes their prognostic heterogeneity. For patients with a risk profile below the cohort average, this structural weighting reduces the stochastic noise of the baseline hazard estimation, leading to a variance lower than that of a standard binomial experiment and, consequently, an</w:t>
      </w:r>
      <w:r>
        <w:t xml:space="preserve"> </w:t>
      </w:r>
      <m:oMath>
        <m:sSub>
          <m:e>
            <m:r>
              <m:t>N</m:t>
            </m:r>
          </m:e>
          <m:sub>
            <m:r>
              <m:rPr>
                <m:sty m:val="p"/>
              </m:rPr>
              <m:t>*</m:t>
            </m:r>
          </m:sub>
        </m:sSub>
        <m:r>
          <m:rPr>
            <m:sty m:val="p"/>
          </m:rPr>
          <m:t>&gt;</m:t>
        </m:r>
        <m:r>
          <m:t>N</m:t>
        </m:r>
      </m:oMath>
      <w:r>
        <w:t xml:space="preserve">.</w:t>
      </w:r>
    </w:p>
    <w:bookmarkEnd w:id="22"/>
    <w:bookmarkStart w:id="26" w:name="supplement-4-distribution-of-predictors"/>
    <w:p>
      <w:pPr>
        <w:pStyle w:val="Heading1"/>
      </w:pPr>
      <w:r>
        <w:t xml:space="preserve">4. Supplement 4: Distribution of predictors</w:t>
      </w:r>
    </w:p>
    <w:p>
      <w:pPr>
        <w:pStyle w:val="FirstParagraph"/>
      </w:pPr>
      <w:r>
        <w:t xml:space="preserve">The first predictor was the</w:t>
      </w:r>
      <w:r>
        <w:t xml:space="preserve"> </w:t>
      </w:r>
      <w:r>
        <w:rPr>
          <w:rStyle w:val="VerbatimChar"/>
        </w:rPr>
        <w:t xml:space="preserve">adhere</w:t>
      </w:r>
      <w:r>
        <w:t xml:space="preserve"> </w:t>
      </w:r>
      <w:r>
        <w:t xml:space="preserve">variable, a dichotomous indicator for adherence of the tumor to nearby organs (positive in 135 of 929 patients). The second predictor was</w:t>
      </w:r>
      <w:r>
        <w:t xml:space="preserve"> </w:t>
      </w:r>
      <w:r>
        <w:rPr>
          <w:rStyle w:val="VerbatimChar"/>
        </w:rPr>
        <w:t xml:space="preserve">rx</w:t>
      </w:r>
      <w:r>
        <w:t xml:space="preserve">, a three-level categorical variable of the three treatment arms from the randomized clinical trial. The third predictor was</w:t>
      </w:r>
      <w:r>
        <w:t xml:space="preserve"> </w:t>
      </w:r>
      <w:r>
        <w:rPr>
          <w:rStyle w:val="VerbatimChar"/>
        </w:rPr>
        <w:t xml:space="preserve">age</w:t>
      </w:r>
      <w:r>
        <w:t xml:space="preserve"> </w:t>
      </w:r>
      <w:r>
        <w:t xml:space="preserve">as a continuous variable. The mean age was 60 years with a standard deviation of 12 years. The age distribution was left-skewed. Finally, the fourth predictor,</w:t>
      </w:r>
      <w:r>
        <w:t xml:space="preserve"> </w:t>
      </w:r>
      <w:r>
        <w:rPr>
          <w:rStyle w:val="VerbatimChar"/>
        </w:rPr>
        <w:t xml:space="preserve">nodes</w:t>
      </w:r>
      <w:r>
        <w:t xml:space="preserve">, was a heavily right-skewed variable (median 4 nodes, range of 0 to 33).</w:t>
      </w:r>
    </w:p>
    <w:p>
      <w:pPr>
        <w:pStyle w:val="CaptionedFigure"/>
      </w:pPr>
      <w:r>
        <w:drawing>
          <wp:inline>
            <wp:extent cx="4587290" cy="3669832"/>
            <wp:effectExtent b="0" l="0" r="0" t="0"/>
            <wp:docPr descr="Distribution of 4 prognostic factors in the colon dataset." title="" id="24" name="Picture"/>
            <a:graphic>
              <a:graphicData uri="http://schemas.openxmlformats.org/drawingml/2006/picture">
                <pic:pic>
                  <pic:nvPicPr>
                    <pic:cNvPr descr="supplement_files/figure-docx/supplement-4-1.png" id="25" name="Picture"/>
                    <pic:cNvPicPr>
                      <a:picLocks noChangeArrowheads="1" noChangeAspect="1"/>
                    </pic:cNvPicPr>
                  </pic:nvPicPr>
                  <pic:blipFill>
                    <a:blip r:embed="rId23"/>
                    <a:stretch>
                      <a:fillRect/>
                    </a:stretch>
                  </pic:blipFill>
                  <pic:spPr bwMode="auto">
                    <a:xfrm>
                      <a:off x="0" y="0"/>
                      <a:ext cx="4587290" cy="3669832"/>
                    </a:xfrm>
                    <a:prstGeom prst="rect">
                      <a:avLst/>
                    </a:prstGeom>
                    <a:noFill/>
                    <a:ln w="9525">
                      <a:noFill/>
                      <a:headEnd/>
                      <a:tailEnd/>
                    </a:ln>
                  </pic:spPr>
                </pic:pic>
              </a:graphicData>
            </a:graphic>
          </wp:inline>
        </w:drawing>
      </w:r>
    </w:p>
    <w:p>
      <w:pPr>
        <w:pStyle w:val="ImageCaption"/>
      </w:pPr>
      <w:r>
        <w:t xml:space="preserve">Distribution of 4 prognostic factors in the colon dataset.</w:t>
      </w:r>
    </w:p>
    <w:bookmarkEnd w:id="26"/>
    <w:bookmarkStart w:id="31" w:name="Xb54f676e5ac210ac9bca29b73077d1b1d0cc3ae"/>
    <w:p>
      <w:pPr>
        <w:pStyle w:val="Heading1"/>
      </w:pPr>
      <w:r>
        <w:t xml:space="preserve">5. Supplement 5: Cox model has narrower 95% CI than Kaplan-Meier</w:t>
      </w:r>
    </w:p>
    <w:p>
      <w:pPr>
        <w:pStyle w:val="FirstParagraph"/>
      </w:pPr>
      <w:r>
        <w:t xml:space="preserve">The effective sample size of a prediction from a univariate Cox model based only on treatment is higher than that of a Kaplan-Meier curve for the same treatment group, especially early on in follow-up. This suggests that the Cox model prediction is more certain about the prediction and this should reflect in a smaller 95% confidence interval. Indeed, when comparing the Cox model prediction for a patient receiving</w:t>
      </w:r>
      <w:r>
        <w:t xml:space="preserve"> </w:t>
      </w:r>
      <w:r>
        <w:t xml:space="preserve">‘Lev+5FU’</w:t>
      </w:r>
      <w:r>
        <w:t xml:space="preserve"> </w:t>
      </w:r>
      <w:r>
        <w:t xml:space="preserve">treatment from univariate Cox model based only on treatment to the Kaplan-Meier curve for this treatment group in</w:t>
      </w:r>
      <w:r>
        <w:t xml:space="preserve"> </w:t>
      </w:r>
      <w:hyperlink w:anchor="fig-supplement-5">
        <w:r>
          <w:rPr>
            <w:rStyle w:val="Hyperlink"/>
          </w:rPr>
          <w:t xml:space="preserve">Figure 1</w:t>
        </w:r>
      </w:hyperlink>
      <w:r>
        <w:t xml:space="preserve">, we see that the 95% confidence interval of the Cox model prediction is narrower than that of the Kaplan-Meier curve, especially early on in follow-up. This is consistent with the higher effective sample size of the Cox model prediction compared to the Kaplan-Meier curve for this patient and treatment group.</w:t>
      </w:r>
    </w:p>
    <w:tbl>
      <w:tblPr>
        <w:tblStyle w:val="Table"/>
        <w:tblW w:type="pct" w:w="5000"/>
        <w:tblLayout w:type="fixed"/>
        <w:tblLook w:firstRow="0" w:lastRow="0" w:firstColumn="0" w:lastColumn="0" w:noHBand="0" w:noVBand="0" w:val="0000"/>
      </w:tblPr>
      <w:tblGrid>
        <w:gridCol w:w="7920"/>
      </w:tblGrid>
      <w:tr>
        <w:tc>
          <w:tcPr/>
          <w:bookmarkStart w:id="30" w:name="fig-supplement-5"/>
          <w:p>
            <w:pPr>
              <w:pStyle w:val="Compact"/>
              <w:jc w:val="center"/>
            </w:pPr>
            <w:r>
              <w:drawing>
                <wp:inline>
                  <wp:extent cx="4620126" cy="3696101"/>
                  <wp:effectExtent b="0" l="0" r="0" t="0"/>
                  <wp:docPr descr="" title="" id="28" name="Picture"/>
                  <a:graphic>
                    <a:graphicData uri="http://schemas.openxmlformats.org/drawingml/2006/picture">
                      <pic:pic>
                        <pic:nvPicPr>
                          <pic:cNvPr descr="supplement_files/figure-docx/fig-supplement-5-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95% Confidence Interval comparison.</w:t>
            </w:r>
          </w:p>
          <w:bookmarkEnd w:id="30"/>
        </w:tc>
      </w:tr>
    </w:tbl>
    <w:bookmarkEnd w:id="31"/>
    <w:bookmarkStart w:id="32" w:name="X7ab6cfbccb01ae58b35203ac0d66fea7bfc9aa8"/>
    <w:p>
      <w:pPr>
        <w:pStyle w:val="Heading1"/>
      </w:pPr>
      <w:r>
        <w:t xml:space="preserve">6. Supplement 6: Effective sample size of mean patient is</w:t>
      </w:r>
      <w:r>
        <w:t xml:space="preserve"> </w:t>
      </w:r>
      <m:oMath>
        <m:r>
          <m:t>N</m:t>
        </m:r>
      </m:oMath>
      <w:r>
        <w:t xml:space="preserve"> </w:t>
      </w:r>
      <w:r>
        <w:t xml:space="preserve">in linear regression</w:t>
      </w:r>
    </w:p>
    <w:p>
      <w:pPr>
        <w:pStyle w:val="FirstParagraph"/>
      </w:pPr>
      <w:r>
        <w:t xml:space="preserve">To support a claim made in the article, we quickly show in an example with the GUSTO data that a patient with the mean value of all predictors in the model has an effective sample size equal to the development sample size in a linear regression model. We fit a linear regression model for the</w:t>
      </w:r>
      <w:r>
        <w:t xml:space="preserve"> </w:t>
      </w:r>
      <w:r>
        <w:rPr>
          <w:rStyle w:val="VerbatimChar"/>
        </w:rPr>
        <w:t xml:space="preserve">day30</w:t>
      </w:r>
      <w:r>
        <w:t xml:space="preserve"> </w:t>
      </w:r>
      <w:r>
        <w:t xml:space="preserve">outcome based on age and height, two continuous predictors. We find that the effective sample size for a patient with mean age and mean height is 1214, equal to the development sample size of 1214 patients in this subset of the GUSTO data. We follow code from Thomassen 2024:</w:t>
      </w:r>
    </w:p>
    <w:p>
      <w:pPr>
        <w:pStyle w:val="SourceCode"/>
      </w:pPr>
      <w:r>
        <w:rPr>
          <w:rStyle w:val="VerbatimChar"/>
        </w:rPr>
        <w:t xml:space="preserve">[1] "Development sample size: 1214"</w:t>
      </w:r>
    </w:p>
    <w:p>
      <w:pPr>
        <w:pStyle w:val="SourceCode"/>
      </w:pPr>
      <w:r>
        <w:rPr>
          <w:rStyle w:val="VerbatimChar"/>
        </w:rPr>
        <w:t xml:space="preserve">[1] "Effective sample size of a patient with mean height and age: 1214"</w:t>
      </w:r>
    </w:p>
    <w:bookmarkEnd w:id="32"/>
    <w:bookmarkStart w:id="33" w:name="X8e5b42099f3d7139dabb5032b3f1b5acb8f6a21"/>
    <w:p>
      <w:pPr>
        <w:pStyle w:val="Heading1"/>
      </w:pPr>
      <w:r>
        <w:t xml:space="preserve">7. Supplement 7: Effective sample size for linear regression is bounded by number of patients in same category, but not for logistic regression</w:t>
      </w:r>
    </w:p>
    <w:p>
      <w:pPr>
        <w:pStyle w:val="FirstParagraph"/>
      </w:pPr>
      <w:r>
        <w:t xml:space="preserve">Effective sample size in linear regression models based on one continuous and one categorical variable are bounded by the number of patients in the same category. Below is an example in the GUSTO data for a linear regression model for height based on age and sex. There are 317 women in this subset of the data. First, we find that for a female patient with the population mean age, her effective sample size is 300, lower than the number of women in the data. However, if we calculate the effective sample size for a woman with the mean age of women, then the effective sample size is 317, equal to the total number of women in the data.</w:t>
      </w:r>
    </w:p>
    <w:p>
      <w:pPr>
        <w:pStyle w:val="SourceCode"/>
      </w:pPr>
      <w:r>
        <w:rPr>
          <w:rStyle w:val="VerbatimChar"/>
        </w:rPr>
        <w:t xml:space="preserve">[1] "Number of female patients: 317"</w:t>
      </w:r>
    </w:p>
    <w:p>
      <w:pPr>
        <w:pStyle w:val="SourceCode"/>
      </w:pPr>
      <w:r>
        <w:rPr>
          <w:rStyle w:val="VerbatimChar"/>
        </w:rPr>
        <w:t xml:space="preserve">[1] "Effective sample size of a woman with population mean age from linear regression: 300"</w:t>
      </w:r>
    </w:p>
    <w:p>
      <w:pPr>
        <w:pStyle w:val="SourceCode"/>
      </w:pPr>
      <w:r>
        <w:rPr>
          <w:rStyle w:val="VerbatimChar"/>
        </w:rPr>
        <w:t xml:space="preserve">[1] "Effective sample size of a woman with female mean age from linear regression: 317"</w:t>
      </w:r>
    </w:p>
    <w:p>
      <w:pPr>
        <w:pStyle w:val="FirstParagraph"/>
      </w:pPr>
      <w:r>
        <w:t xml:space="preserve">In logistic regression effective sample size can be higher then the total number of patients in your categorical subgroup, such as sex. To illustrate, we fit a logistic regression model for the</w:t>
      </w:r>
      <w:r>
        <w:t xml:space="preserve"> </w:t>
      </w:r>
      <w:r>
        <w:rPr>
          <w:rStyle w:val="VerbatimChar"/>
        </w:rPr>
        <w:t xml:space="preserve">day30</w:t>
      </w:r>
      <w:r>
        <w:t xml:space="preserve"> </w:t>
      </w:r>
      <w:r>
        <w:t xml:space="preserve">outcome based on age and sex, again based on 1214 patients, 317 of which are women. Below is the same model based on age and gender, but now using a glm with logit link function. In a logistic regression model, the effective sample size can be higher than the amount of women in the data. The effective sample size for the prediction for a woman with the population mean age (406) is higher than that for a woman with the mean age among women (345). This contrasts with the linear regression model where effective sample size was the highest for the woman with the mean age among women.</w:t>
      </w:r>
    </w:p>
    <w:p>
      <w:pPr>
        <w:pStyle w:val="SourceCode"/>
      </w:pPr>
      <w:r>
        <w:rPr>
          <w:rStyle w:val="VerbatimChar"/>
        </w:rPr>
        <w:t xml:space="preserve">[1] "Number of women in data: 317"</w:t>
      </w:r>
    </w:p>
    <w:p>
      <w:pPr>
        <w:pStyle w:val="SourceCode"/>
      </w:pPr>
      <w:r>
        <w:rPr>
          <w:rStyle w:val="VerbatimChar"/>
        </w:rPr>
        <w:t xml:space="preserve">[1] "Effective sample size of a woman with population mean age from logistic regression without interaction: 406"</w:t>
      </w:r>
    </w:p>
    <w:p>
      <w:pPr>
        <w:pStyle w:val="SourceCode"/>
      </w:pPr>
      <w:r>
        <w:rPr>
          <w:rStyle w:val="VerbatimChar"/>
        </w:rPr>
        <w:t xml:space="preserve">[1] "Effective sample size of a woman with female mean age from logistic regression without interaction: 345"</w:t>
      </w:r>
    </w:p>
    <w:p>
      <w:pPr>
        <w:pStyle w:val="FirstParagraph"/>
      </w:pPr>
      <w:r>
        <w:t xml:space="preserve">Next we include an interaction term between age and sex to the logistic regression model. Effective sample size is much lower for both predictions, with the effective sample size for a women with the population mean age dropping from 406 to 194 and for a women with the female mean age dropping from 345 to 235. Note that the effective sample size for a woman with the mean age in her subgroup of women, is now higher than for a woman with the mean age in the overall development population.</w:t>
      </w:r>
    </w:p>
    <w:p>
      <w:pPr>
        <w:pStyle w:val="SourceCode"/>
      </w:pPr>
      <w:r>
        <w:rPr>
          <w:rStyle w:val="VerbatimChar"/>
        </w:rPr>
        <w:t xml:space="preserve">[1] "Number of patients with your gender: 317"</w:t>
      </w:r>
    </w:p>
    <w:p>
      <w:pPr>
        <w:pStyle w:val="SourceCode"/>
      </w:pPr>
      <w:r>
        <w:rPr>
          <w:rStyle w:val="VerbatimChar"/>
        </w:rPr>
        <w:t xml:space="preserve">[1] "Effective sample size of a woman with population mean age from logistic regression with interaction: 194"</w:t>
      </w:r>
    </w:p>
    <w:p>
      <w:pPr>
        <w:pStyle w:val="SourceCode"/>
      </w:pPr>
      <w:r>
        <w:rPr>
          <w:rStyle w:val="VerbatimChar"/>
        </w:rPr>
        <w:t xml:space="preserve">[1] "Effective sample size of a woman with female mean age from logistic regression with interaction: 235"</w:t>
      </w:r>
    </w:p>
    <w:bookmarkEnd w:id="33"/>
    <w:bookmarkStart w:id="34" w:name="X73b076614bf611b9bed5bf864c137b168a2020f"/>
    <w:p>
      <w:pPr>
        <w:pStyle w:val="Heading1"/>
      </w:pPr>
      <w:r>
        <w:t xml:space="preserve">8. Supplement 8: Multivariable Cox effective sample size at 5 years with separate baseline hazards for treatment</w:t>
      </w:r>
    </w:p>
    <w:p>
      <w:pPr>
        <w:pStyle w:val="FirstParagraph"/>
      </w:pPr>
      <w:r>
        <w:t xml:space="preserve">Similar to figure 3 in the main text, but now with the model stratified by treatment instead of estimating a hazard ratio for treatment effect. At this 5-year survival prediction there is very little difference between the stratified and the non-stratified model, with the stratified model having slightly lower effective sample sizes, but not by much.</w:t>
      </w:r>
    </w:p>
    <w:bookmarkEnd w:id="34"/>
    <w:bookmarkStart w:id="35" w:name="X4ed83d53892284714b18ae54260cc3a0cad946f"/>
    <w:p>
      <w:pPr>
        <w:pStyle w:val="Heading1"/>
      </w:pPr>
      <w:r>
        <w:t xml:space="preserve">9. Supplement 9: Heuristic explanation of higher than total sample size</w:t>
      </w:r>
    </w:p>
    <w:p>
      <w:pPr>
        <w:pStyle w:val="FirstParagraph"/>
      </w:pPr>
      <w:r>
        <w:t xml:space="preserve">The baseline hazard for the Cox model at time</w:t>
      </w:r>
      <w:r>
        <w:t xml:space="preserve"> </w:t>
      </w:r>
      <m:oMath>
        <m:sSub>
          <m:e>
            <m:r>
              <m:t>t</m:t>
            </m:r>
          </m:e>
          <m:sub>
            <m:r>
              <m:t>i</m:t>
            </m:r>
          </m:sub>
        </m:sSub>
      </m:oMath>
      <w:r>
        <w:t xml:space="preserve"> </w:t>
      </w:r>
      <w:r>
        <w:t xml:space="preserve">with</w:t>
      </w:r>
      <w:r>
        <w:t xml:space="preserve"> </w:t>
      </w:r>
      <m:oMath>
        <m:sSub>
          <m:e>
            <m:r>
              <m:t>δ</m:t>
            </m:r>
          </m:e>
          <m:sub>
            <m:r>
              <m:t>i</m:t>
            </m:r>
          </m:sub>
        </m:sSub>
      </m:oMath>
      <w:r>
        <w:t xml:space="preserve"> </w:t>
      </w:r>
      <w:r>
        <w:t xml:space="preserve">events is estimated as</w:t>
      </w:r>
      <w:r>
        <w:t xml:space="preserve"> </w:t>
      </w:r>
      <m:oMath>
        <m:f>
          <m:fPr>
            <m:type m:val="bar"/>
          </m:fPr>
          <m:num>
            <m:sSub>
              <m:e>
                <m:r>
                  <m:t>d</m:t>
                </m:r>
              </m:e>
              <m:sub>
                <m:r>
                  <m:t>j</m:t>
                </m:r>
              </m:sub>
            </m:sSub>
          </m:num>
          <m:den>
            <m:nary>
              <m:naryPr>
                <m:chr m:val="∑"/>
                <m:limLoc m:val="undOvr"/>
                <m:subHide m:val="off"/>
                <m:supHide m:val="on"/>
              </m:naryPr>
              <m:sub>
                <m:r>
                  <m:t>i</m:t>
                </m:r>
                <m:r>
                  <m:rPr>
                    <m:sty m:val="p"/>
                  </m:rPr>
                  <m:t>∈</m:t>
                </m:r>
                <m:sSub>
                  <m:e>
                    <m:r>
                      <m:t>R</m:t>
                    </m:r>
                  </m:e>
                  <m:sub>
                    <m:r>
                      <m:t>j</m:t>
                    </m:r>
                  </m:sub>
                </m:sSub>
              </m:sub>
              <m:sup>
                <m:r>
                  <m:t>​</m:t>
                </m:r>
              </m:sup>
              <m:e>
                <m:r>
                  <m:rPr>
                    <m:sty m:val="p"/>
                  </m:rPr>
                  <m:t>exp</m:t>
                </m:r>
              </m:e>
            </m:nary>
            <m:d>
              <m:dPr>
                <m:begChr m:val="("/>
                <m:sepChr m:val=""/>
                <m:endChr m:val=")"/>
                <m:grow/>
              </m:dPr>
              <m:e>
                <m:sSup>
                  <m:e>
                    <m:acc>
                      <m:accPr>
                        <m:chr m:val="̂"/>
                      </m:accPr>
                      <m:e>
                        <m:r>
                          <m:t>β</m:t>
                        </m:r>
                      </m:e>
                    </m:acc>
                  </m:e>
                  <m:sup>
                    <m:r>
                      <m:rPr>
                        <m:sty m:val="p"/>
                      </m:rPr>
                      <m:t>⊤</m:t>
                    </m:r>
                  </m:sup>
                </m:sSup>
                <m:sSub>
                  <m:e>
                    <m:r>
                      <m:rPr>
                        <m:sty m:val="b"/>
                      </m:rPr>
                      <m:t>x</m:t>
                    </m:r>
                  </m:e>
                  <m:sub>
                    <m:r>
                      <m:t>i</m:t>
                    </m:r>
                  </m:sub>
                </m:sSub>
              </m:e>
            </m:d>
          </m:den>
        </m:f>
      </m:oMath>
      <w:r>
        <w:t xml:space="preserve">, where the denominator is the risk-weighted number at risk. This risk-weighted number at risk is the implicit sample size used for the baseline hazard estimation and based on</w:t>
      </w:r>
      <w:r>
        <w:t xml:space="preserve"> </w:t>
      </w:r>
      <m:oMath>
        <m:r>
          <m:t>β</m:t>
        </m:r>
      </m:oMath>
      <w:r>
        <w:t xml:space="preserve">, which is estimated based on all events including those in the future.</w:t>
      </w:r>
    </w:p>
    <w:p>
      <w:pPr>
        <w:pStyle w:val="BodyText"/>
      </w:pPr>
      <w:r>
        <w:t xml:space="preserve">Near</w:t>
      </w:r>
      <w:r>
        <w:t xml:space="preserve"> </w:t>
      </w:r>
      <m:oMath>
        <m:r>
          <m:t>t</m:t>
        </m:r>
        <m:r>
          <m:rPr>
            <m:sty m:val="p"/>
          </m:rPr>
          <m:t>=</m:t>
        </m:r>
        <m:r>
          <m:t>0</m:t>
        </m:r>
      </m:oMath>
      <w:r>
        <w:t xml:space="preserve"> </w:t>
      </w:r>
      <w:r>
        <w:t xml:space="preserve">in Figure 4, a single death in 10,000 patients leads to a risk-weighted number at risk in the data of</w:t>
      </w:r>
      <w:r>
        <w:t xml:space="preserve"> </w:t>
      </w:r>
      <m:oMath>
        <m:r>
          <m:t>5</m:t>
        </m:r>
        <m:r>
          <m:rPr>
            <m:sty m:val="p"/>
          </m:rPr>
          <m:t>,</m:t>
        </m:r>
        <m:r>
          <m:t>000</m:t>
        </m:r>
        <m:r>
          <m:rPr>
            <m:sty m:val="p"/>
          </m:rPr>
          <m:t>⋅</m:t>
        </m:r>
        <m:r>
          <m:t>2</m:t>
        </m:r>
        <m:r>
          <m:rPr>
            <m:sty m:val="p"/>
          </m:rPr>
          <m:t>+</m:t>
        </m:r>
        <m:r>
          <m:t>5</m:t>
        </m:r>
        <m:r>
          <m:rPr>
            <m:sty m:val="p"/>
          </m:rPr>
          <m:t>,</m:t>
        </m:r>
        <m:r>
          <m:t>000</m:t>
        </m:r>
        <m:r>
          <m:rPr>
            <m:sty m:val="p"/>
          </m:rPr>
          <m:t>⋅</m:t>
        </m:r>
        <m:r>
          <m:t>1</m:t>
        </m:r>
        <m:r>
          <m:rPr>
            <m:sty m:val="p"/>
          </m:rPr>
          <m:t>=</m:t>
        </m:r>
        <m:r>
          <m:t>15</m:t>
        </m:r>
        <m:r>
          <m:rPr>
            <m:sty m:val="p"/>
          </m:rPr>
          <m:t>,</m:t>
        </m:r>
        <m:r>
          <m:t>000</m:t>
        </m:r>
      </m:oMath>
      <w:r>
        <w:t xml:space="preserve">. At such early follow-up time, the hazard of a patient is</w:t>
      </w:r>
      <w:r>
        <w:t xml:space="preserve"> </w:t>
      </w:r>
      <m:oMath>
        <m:f>
          <m:fPr>
            <m:type m:val="bar"/>
          </m:fPr>
          <m:num>
            <m:r>
              <m:rPr>
                <m:sty m:val="p"/>
              </m:rPr>
              <m:t>exp</m:t>
            </m:r>
            <m:d>
              <m:dPr>
                <m:begChr m:val="("/>
                <m:sepChr m:val=""/>
                <m:endChr m:val=")"/>
                <m:grow/>
              </m:dPr>
              <m:e>
                <m:sSup>
                  <m:e>
                    <m:acc>
                      <m:accPr>
                        <m:chr m:val="̂"/>
                      </m:accPr>
                      <m:e>
                        <m:r>
                          <m:t>β</m:t>
                        </m:r>
                      </m:e>
                    </m:acc>
                  </m:e>
                  <m:sup>
                    <m:r>
                      <m:rPr>
                        <m:sty m:val="p"/>
                      </m:rPr>
                      <m:t>⊤</m:t>
                    </m:r>
                  </m:sup>
                </m:sSup>
                <m:sSub>
                  <m:e>
                    <m:r>
                      <m:t>x</m:t>
                    </m:r>
                  </m:e>
                  <m:sub>
                    <m:r>
                      <m:rPr>
                        <m:nor/>
                        <m:sty m:val="p"/>
                      </m:rPr>
                      <m:t>new</m:t>
                    </m:r>
                  </m:sub>
                </m:sSub>
              </m:e>
            </m:d>
          </m:num>
          <m:den>
            <m:nary>
              <m:naryPr>
                <m:chr m:val="∑"/>
                <m:limLoc m:val="undOvr"/>
                <m:subHide m:val="off"/>
                <m:supHide m:val="on"/>
              </m:naryPr>
              <m:sub>
                <m:r>
                  <m:t>i</m:t>
                </m:r>
                <m:r>
                  <m:rPr>
                    <m:sty m:val="p"/>
                  </m:rPr>
                  <m:t>∈</m:t>
                </m:r>
                <m:sSub>
                  <m:e>
                    <m:r>
                      <m:t>R</m:t>
                    </m:r>
                  </m:e>
                  <m:sub>
                    <m:r>
                      <m:t>j</m:t>
                    </m:r>
                  </m:sub>
                </m:sSub>
              </m:sub>
              <m:sup>
                <m:r>
                  <m:t>​</m:t>
                </m:r>
              </m:sup>
              <m:e>
                <m:r>
                  <m:rPr>
                    <m:sty m:val="p"/>
                  </m:rPr>
                  <m:t>exp</m:t>
                </m:r>
              </m:e>
            </m:nary>
            <m:d>
              <m:dPr>
                <m:begChr m:val="("/>
                <m:sepChr m:val=""/>
                <m:endChr m:val=")"/>
                <m:grow/>
              </m:dPr>
              <m:e>
                <m:sSup>
                  <m:e>
                    <m:acc>
                      <m:accPr>
                        <m:chr m:val="̂"/>
                      </m:accPr>
                      <m:e>
                        <m:r>
                          <m:t>β</m:t>
                        </m:r>
                      </m:e>
                    </m:acc>
                  </m:e>
                  <m:sup>
                    <m:r>
                      <m:rPr>
                        <m:sty m:val="p"/>
                      </m:rPr>
                      <m:t>⊤</m:t>
                    </m:r>
                  </m:sup>
                </m:sSup>
                <m:sSub>
                  <m:e>
                    <m:r>
                      <m:t>x</m:t>
                    </m:r>
                  </m:e>
                  <m:sub>
                    <m:r>
                      <m:t>i</m:t>
                    </m:r>
                  </m:sub>
                </m:sSub>
              </m:e>
            </m:d>
          </m:den>
        </m:f>
      </m:oMath>
      <w:r>
        <w:t xml:space="preserve">, the product of their hazard ratio and the baseline hazard. For a woman, the risk of being this first death is</w:t>
      </w:r>
      <w:r>
        <w:t xml:space="preserve"> </w:t>
      </w:r>
      <m:oMath>
        <m:r>
          <m:t>1</m:t>
        </m:r>
        <m:r>
          <m:rPr>
            <m:sty m:val="p"/>
          </m:rPr>
          <m:t>/</m:t>
        </m:r>
        <m:r>
          <m:t>15</m:t>
        </m:r>
        <m:r>
          <m:rPr>
            <m:sty m:val="p"/>
          </m:rPr>
          <m:t>,</m:t>
        </m:r>
        <m:r>
          <m:t>000</m:t>
        </m:r>
      </m:oMath>
      <w:r>
        <w:t xml:space="preserve">, giving us an effective sample size of 15,000, exactly what was found in the simulation. For a man, the risk of being this first death is</w:t>
      </w:r>
      <w:r>
        <w:t xml:space="preserve"> </w:t>
      </w:r>
      <m:oMath>
        <m:r>
          <m:t>2</m:t>
        </m:r>
        <m:r>
          <m:rPr>
            <m:sty m:val="p"/>
          </m:rPr>
          <m:t>/</m:t>
        </m:r>
        <m:r>
          <m:t>15</m:t>
        </m:r>
        <m:r>
          <m:rPr>
            <m:sty m:val="p"/>
          </m:rPr>
          <m:t>,</m:t>
        </m:r>
        <m:r>
          <m:t>000</m:t>
        </m:r>
        <m:r>
          <m:rPr>
            <m:sty m:val="p"/>
          </m:rPr>
          <m:t>=</m:t>
        </m:r>
        <m:r>
          <m:t>1</m:t>
        </m:r>
        <m:r>
          <m:rPr>
            <m:sty m:val="p"/>
          </m:rPr>
          <m:t>/</m:t>
        </m:r>
        <m:r>
          <m:t>7</m:t>
        </m:r>
        <m:r>
          <m:rPr>
            <m:sty m:val="p"/>
          </m:rPr>
          <m:t>,</m:t>
        </m:r>
        <m:r>
          <m:t>500</m:t>
        </m:r>
      </m:oMath>
      <w:r>
        <w:t xml:space="preserve">, again matching the effective sample size of 7,500 in the simulation.</w:t>
      </w:r>
    </w:p>
    <w:p>
      <w:pPr>
        <w:pStyle w:val="BodyText"/>
      </w:pPr>
      <w:r>
        <w:t xml:space="preserve">We can investigate this heuristic explanation in the simulation example as well:</w:t>
      </w:r>
    </w:p>
    <w:p>
      <w:pPr>
        <w:pStyle w:val="BodyText"/>
      </w:pPr>
      <w:r>
        <w:t xml:space="preserve">Our assumption/hypothesis is that the effective sample size at the beginning is this</w:t>
      </w:r>
      <w:r>
        <w:t xml:space="preserve"> </w:t>
      </w:r>
      <m:oMath>
        <m:f>
          <m:fPr>
            <m:type m:val="bar"/>
          </m:fPr>
          <m:num>
            <m:r>
              <m:t>H</m:t>
            </m:r>
            <m:sSub>
              <m:e>
                <m:r>
                  <m:t>R</m:t>
                </m:r>
              </m:e>
              <m:sub>
                <m:r>
                  <m:t>n</m:t>
                </m:r>
                <m:r>
                  <m:t>e</m:t>
                </m:r>
                <m:r>
                  <m:t>w</m:t>
                </m:r>
              </m:sub>
            </m:sSub>
          </m:num>
          <m:den>
            <m:r>
              <m:t>T</m:t>
            </m:r>
            <m:r>
              <m:t>o</m:t>
            </m:r>
            <m:r>
              <m:t>t</m:t>
            </m:r>
            <m:r>
              <m:t>a</m:t>
            </m:r>
            <m:r>
              <m:t>l</m:t>
            </m:r>
            <m:r>
              <m:t>r</m:t>
            </m:r>
            <m:r>
              <m:t>i</m:t>
            </m:r>
            <m:r>
              <m:t>s</m:t>
            </m:r>
            <m:r>
              <m:t>k</m:t>
            </m:r>
          </m:den>
        </m:f>
      </m:oMath>
      <w:r>
        <w:t xml:space="preserve"> </w:t>
      </w:r>
      <w:r>
        <w:t xml:space="preserve">value. We cannot estimate variance before any events, so we analyse this hypothesis at the first event time. As we simulate with a HR of 2, we expect the total risk to be equal to</w:t>
      </w:r>
      <w:r>
        <w:t xml:space="preserve"> </w:t>
      </w:r>
      <m:oMath>
        <m:r>
          <m:t>5000</m:t>
        </m:r>
        <m:r>
          <m:rPr>
            <m:sty m:val="p"/>
          </m:rPr>
          <m:t>⋅</m:t>
        </m:r>
        <m:r>
          <m:t>1</m:t>
        </m:r>
        <m:r>
          <m:rPr>
            <m:sty m:val="p"/>
          </m:rPr>
          <m:t>+</m:t>
        </m:r>
        <m:r>
          <m:t>5000</m:t>
        </m:r>
        <m:r>
          <m:rPr>
            <m:sty m:val="p"/>
          </m:rPr>
          <m:t>⋅</m:t>
        </m:r>
        <m:r>
          <m:t>2</m:t>
        </m:r>
        <m:r>
          <m:rPr>
            <m:sty m:val="p"/>
          </m:rPr>
          <m:t>=</m:t>
        </m:r>
        <m:r>
          <m:t>15000</m:t>
        </m:r>
      </m:oMath>
      <w:r>
        <w:t xml:space="preserve">, the effective sample size for a female patient with HR of 1 should have an effective sample size of 15,000 (the denominator) and a male patient with HR of 2 should have an effective sample size of 7,500 (the denominator divided by HR).</w:t>
      </w:r>
    </w:p>
    <w:p>
      <w:pPr>
        <w:pStyle w:val="BodyText"/>
      </w:pPr>
      <w:r>
        <w:t xml:space="preserve">The Cox model imperfectly estimates the hazard ratio, estimating it as: 1.98197. The expected effective sample size for women after one event, with this new assumed HR becomes 14910 (rounded to integer), and 7523 for men. However, we find that our effective sample size is estimated as 14907 for women and 7523 for men. The discrepancy for women may be caused by the variance from coefficient estimation, event if that is very small at this early time. If we assume the coefficient is perfectly estimated and only consider the variance caused by baseline hazard estimation, we find effective sample sizes of 14910 for women. This matches our hypothesis exactly. For men, it appears the impact of the coefficient estimation is too small to be a factor in the effective sample size at this early time.</w:t>
      </w:r>
    </w:p>
    <w:bookmarkEnd w:id="35"/>
    <w:bookmarkStart w:id="36" w:name="X0a6d739476af78bacc7e2354c3dce61995a8872"/>
    <w:p>
      <w:pPr>
        <w:pStyle w:val="Heading1"/>
      </w:pPr>
      <w:r>
        <w:t xml:space="preserve">10. Supplement 10: Heuristic explaination of asymmetry / variance attributable to coefficient</w:t>
      </w:r>
    </w:p>
    <w:p>
      <w:pPr>
        <w:pStyle w:val="FirstParagraph"/>
      </w:pPr>
      <w:r>
        <w:t xml:space="preserve">The asymmetry in predictions for equally exceptional patients based on a continuous variable can be explained in the same way. We find that the contribution of the coefficient uncertainty to the total variance for women drops off substantially from</w:t>
      </w:r>
      <w:r>
        <w:t xml:space="preserve"> </w:t>
      </w:r>
      <m:oMath>
        <m:r>
          <m:t>t</m:t>
        </m:r>
        <m:r>
          <m:rPr>
            <m:sty m:val="p"/>
          </m:rPr>
          <m:t>=</m:t>
        </m:r>
        <m:r>
          <m:t>7.5</m:t>
        </m:r>
      </m:oMath>
      <w:r>
        <w:t xml:space="preserve"> </w:t>
      </w:r>
      <w:r>
        <w:t xml:space="preserve">(Figure 4D). At the time of the first event</w:t>
      </w:r>
      <w:r>
        <w:t xml:space="preserve"> </w:t>
      </w:r>
      <m:oMath>
        <m:sSub>
          <m:e>
            <m:r>
              <m:t>t</m:t>
            </m:r>
          </m:e>
          <m:sub>
            <m:r>
              <m:t>1</m:t>
            </m:r>
          </m:sub>
        </m:sSub>
      </m:oMath>
      <w:r>
        <w:t xml:space="preserve">, the gradient (Equation 5, 6) for women (</w:t>
      </w:r>
      <m:oMath>
        <m:sSub>
          <m:e>
            <m:r>
              <m:rPr>
                <m:sty m:val="b"/>
              </m:rPr>
              <m:t>x</m:t>
            </m:r>
          </m:e>
          <m:sub>
            <m:r>
              <m:t>w</m:t>
            </m:r>
          </m:sub>
        </m:sSub>
      </m:oMath>
      <w:r>
        <w:t xml:space="preserve">, equation 8) and men (</w:t>
      </w:r>
      <m:oMath>
        <m:sSub>
          <m:e>
            <m:r>
              <m:rPr>
                <m:sty m:val="b"/>
              </m:rPr>
              <m:t>x</m:t>
            </m:r>
          </m:e>
          <m:sub>
            <m:r>
              <m:t>m</m:t>
            </m:r>
          </m:sub>
        </m:sSub>
      </m:oMath>
      <w:r>
        <w:t xml:space="preserve">, equation 9) is:</w:t>
      </w:r>
    </w:p>
    <w:p>
      <w:pPr>
        <w:pStyle w:val="BodyText"/>
      </w:pPr>
      <m:oMathPara>
        <m:oMathParaPr>
          <m:jc m:val="center"/>
        </m:oMathParaPr>
        <m:oMath>
          <m:f>
            <m:fPr>
              <m:type m:val="bar"/>
            </m:fPr>
            <m:num>
              <m:r>
                <m:rPr>
                  <m:sty m:val="p"/>
                </m:rPr>
                <m:t>∂</m:t>
              </m:r>
              <m:acc>
                <m:accPr>
                  <m:chr m:val="̂"/>
                </m:accPr>
                <m:e>
                  <m:r>
                    <m:t>S</m:t>
                  </m:r>
                </m:e>
              </m:acc>
              <m:d>
                <m:dPr>
                  <m:begChr m:val="("/>
                  <m:sepChr m:val=""/>
                  <m:endChr m:val=")"/>
                  <m:grow/>
                </m:dPr>
                <m:e>
                  <m:sSub>
                    <m:e>
                      <m:r>
                        <m:t>t</m:t>
                      </m:r>
                    </m:e>
                    <m:sub>
                      <m:r>
                        <m:t>1</m:t>
                      </m:r>
                    </m:sub>
                  </m:sSub>
                  <m:r>
                    <m:rPr>
                      <m:sty m:val="p"/>
                    </m:rPr>
                    <m:t>|</m:t>
                  </m:r>
                  <m:sSub>
                    <m:e>
                      <m:r>
                        <m:rPr>
                          <m:sty m:val="b"/>
                        </m:rPr>
                        <m:t>x</m:t>
                      </m:r>
                    </m:e>
                    <m:sub>
                      <m:r>
                        <m:t>1</m:t>
                      </m:r>
                    </m:sub>
                  </m:sSub>
                  <m:r>
                    <m:rPr>
                      <m:sty m:val="p"/>
                    </m:rPr>
                    <m:t>=</m:t>
                  </m:r>
                  <m:r>
                    <m:t>1</m:t>
                  </m:r>
                </m:e>
              </m:d>
            </m:num>
            <m:den>
              <m:r>
                <m:rPr>
                  <m:sty m:val="p"/>
                </m:rPr>
                <m:t>∂</m:t>
              </m:r>
              <m:r>
                <m:rPr>
                  <m:sty m:val="b"/>
                </m:rPr>
                <m:t>β</m:t>
              </m:r>
            </m:den>
          </m:f>
          <m:r>
            <m:rPr>
              <m:sty m:val="p"/>
            </m:rPr>
            <m:t>=</m:t>
          </m:r>
          <m:f>
            <m:fPr>
              <m:type m:val="bar"/>
            </m:fPr>
            <m:num>
              <m:r>
                <m:rPr>
                  <m:sty m:val="p"/>
                </m:rPr>
                <m:t>exp</m:t>
              </m:r>
              <m:d>
                <m:dPr>
                  <m:begChr m:val="("/>
                  <m:sepChr m:val=""/>
                  <m:endChr m:val=")"/>
                  <m:grow/>
                </m:dPr>
                <m:e>
                  <m:sSup>
                    <m:e>
                      <m:acc>
                        <m:accPr>
                          <m:chr m:val="̂"/>
                        </m:accPr>
                        <m:e>
                          <m:r>
                            <m:rPr>
                              <m:sty m:val="b"/>
                            </m:rPr>
                            <m:t>β</m:t>
                          </m:r>
                        </m:e>
                      </m:acc>
                    </m:e>
                    <m:sup>
                      <m:r>
                        <m:rPr>
                          <m:sty m:val="p"/>
                        </m:rPr>
                        <m:t>⊤</m:t>
                      </m:r>
                    </m:sup>
                  </m:sSup>
                  <m:sSub>
                    <m:e>
                      <m:r>
                        <m:rPr>
                          <m:sty m:val="b"/>
                        </m:rPr>
                        <m:t>x</m:t>
                      </m:r>
                    </m:e>
                    <m:sub>
                      <m:r>
                        <m:t>1</m:t>
                      </m:r>
                    </m:sub>
                  </m:sSub>
                </m:e>
              </m:d>
            </m:num>
            <m:den>
              <m:nary>
                <m:naryPr>
                  <m:chr m:val="∑"/>
                  <m:limLoc m:val="undOvr"/>
                  <m:subHide m:val="off"/>
                  <m:supHide m:val="on"/>
                </m:naryPr>
                <m:sub>
                  <m:r>
                    <m:t>i</m:t>
                  </m:r>
                  <m:r>
                    <m:rPr>
                      <m:sty m:val="p"/>
                    </m:rPr>
                    <m:t>∈</m:t>
                  </m:r>
                  <m:sSub>
                    <m:e>
                      <m:r>
                        <m:t>R</m:t>
                      </m:r>
                    </m:e>
                    <m:sub>
                      <m:r>
                        <m:t>1</m:t>
                      </m:r>
                    </m:sub>
                  </m:sSub>
                </m:sub>
                <m:sup>
                  <m:r>
                    <m:t>​</m:t>
                  </m:r>
                </m:sup>
                <m:e>
                  <m:r>
                    <m:rPr>
                      <m:sty m:val="p"/>
                    </m:rPr>
                    <m:t>exp</m:t>
                  </m:r>
                </m:e>
              </m:nary>
              <m:d>
                <m:dPr>
                  <m:begChr m:val="("/>
                  <m:sepChr m:val=""/>
                  <m:endChr m:val=")"/>
                  <m:grow/>
                </m:dPr>
                <m:e>
                  <m:sSup>
                    <m:e>
                      <m:acc>
                        <m:accPr>
                          <m:chr m:val="̂"/>
                        </m:accPr>
                        <m:e>
                          <m:r>
                            <m:rPr>
                              <m:sty m:val="b"/>
                            </m:rPr>
                            <m:t>β</m:t>
                          </m:r>
                        </m:e>
                      </m:acc>
                    </m:e>
                    <m:sup>
                      <m:r>
                        <m:rPr>
                          <m:sty m:val="p"/>
                        </m:rPr>
                        <m:t>⊤</m:t>
                      </m:r>
                    </m:sup>
                  </m:sSup>
                  <m:sSub>
                    <m:e>
                      <m:r>
                        <m:rPr>
                          <m:sty m:val="b"/>
                        </m:rPr>
                        <m:t>x</m:t>
                      </m:r>
                    </m:e>
                    <m:sub>
                      <m:r>
                        <m:t>i</m:t>
                      </m:r>
                    </m:sub>
                  </m:sSub>
                </m:e>
              </m:d>
            </m:den>
          </m:f>
          <m:d>
            <m:dPr>
              <m:begChr m:val="{"/>
              <m:sepChr m:val=""/>
              <m:endChr m:val="}"/>
              <m:grow/>
            </m:dPr>
            <m:e>
              <m:f>
                <m:fPr>
                  <m:type m:val="bar"/>
                </m:fPr>
                <m:num>
                  <m:nary>
                    <m:naryPr>
                      <m:chr m:val="∑"/>
                      <m:limLoc m:val="undOvr"/>
                      <m:subHide m:val="off"/>
                      <m:supHide m:val="on"/>
                    </m:naryPr>
                    <m:sub>
                      <m:r>
                        <m:t>i</m:t>
                      </m:r>
                      <m:r>
                        <m:rPr>
                          <m:sty m:val="p"/>
                        </m:rPr>
                        <m:t>∈</m:t>
                      </m:r>
                      <m:sSub>
                        <m:e>
                          <m:r>
                            <m:t>R</m:t>
                          </m:r>
                        </m:e>
                        <m:sub>
                          <m:r>
                            <m:t>1</m:t>
                          </m:r>
                        </m:sub>
                      </m:sSub>
                    </m:sub>
                    <m:sup>
                      <m:r>
                        <m:t>​</m:t>
                      </m:r>
                    </m:sup>
                    <m:e>
                      <m:sSub>
                        <m:e>
                          <m:r>
                            <m:t>x</m:t>
                          </m:r>
                        </m:e>
                        <m:sub>
                          <m:r>
                            <m:t>i</m:t>
                          </m:r>
                          <m:r>
                            <m:rPr>
                              <m:sty m:val="p"/>
                            </m:rPr>
                            <m:t>,</m:t>
                          </m:r>
                          <m:r>
                            <m:t>q</m:t>
                          </m:r>
                        </m:sub>
                      </m:sSub>
                    </m:e>
                  </m:nary>
                  <m:r>
                    <m:rPr>
                      <m:sty m:val="p"/>
                    </m:rPr>
                    <m:t>exp</m:t>
                  </m:r>
                  <m:d>
                    <m:dPr>
                      <m:begChr m:val="("/>
                      <m:sepChr m:val=""/>
                      <m:endChr m:val=")"/>
                      <m:grow/>
                    </m:dPr>
                    <m:e>
                      <m:sSup>
                        <m:e>
                          <m:acc>
                            <m:accPr>
                              <m:chr m:val="̂"/>
                            </m:accPr>
                            <m:e>
                              <m:r>
                                <m:rPr>
                                  <m:sty m:val="b"/>
                                </m:rPr>
                                <m:t>β</m:t>
                              </m:r>
                            </m:e>
                          </m:acc>
                        </m:e>
                        <m:sup>
                          <m:r>
                            <m:rPr>
                              <m:sty m:val="p"/>
                            </m:rPr>
                            <m:t>⊤</m:t>
                          </m:r>
                        </m:sup>
                      </m:sSup>
                      <m:sSub>
                        <m:e>
                          <m:r>
                            <m:rPr>
                              <m:sty m:val="b"/>
                            </m:rPr>
                            <m:t>x</m:t>
                          </m:r>
                        </m:e>
                        <m:sub>
                          <m:r>
                            <m:t>i</m:t>
                          </m:r>
                        </m:sub>
                      </m:sSub>
                    </m:e>
                  </m:d>
                </m:num>
                <m:den>
                  <m:nary>
                    <m:naryPr>
                      <m:chr m:val="∑"/>
                      <m:limLoc m:val="undOvr"/>
                      <m:subHide m:val="off"/>
                      <m:supHide m:val="on"/>
                    </m:naryPr>
                    <m:sub>
                      <m:r>
                        <m:t>i</m:t>
                      </m:r>
                      <m:r>
                        <m:rPr>
                          <m:sty m:val="p"/>
                        </m:rPr>
                        <m:t>∈</m:t>
                      </m:r>
                      <m:sSub>
                        <m:e>
                          <m:r>
                            <m:t>R</m:t>
                          </m:r>
                        </m:e>
                        <m:sub>
                          <m:r>
                            <m:t>1</m:t>
                          </m:r>
                        </m:sub>
                      </m:sSub>
                    </m:sub>
                    <m:sup>
                      <m:r>
                        <m:t>​</m:t>
                      </m:r>
                    </m:sup>
                    <m:e>
                      <m:r>
                        <m:rPr>
                          <m:sty m:val="p"/>
                        </m:rPr>
                        <m:t>exp</m:t>
                      </m:r>
                    </m:e>
                  </m:nary>
                  <m:d>
                    <m:dPr>
                      <m:begChr m:val="("/>
                      <m:sepChr m:val=""/>
                      <m:endChr m:val=")"/>
                      <m:grow/>
                    </m:dPr>
                    <m:e>
                      <m:sSup>
                        <m:e>
                          <m:acc>
                            <m:accPr>
                              <m:chr m:val="̂"/>
                            </m:accPr>
                            <m:e>
                              <m:r>
                                <m:rPr>
                                  <m:sty m:val="b"/>
                                </m:rPr>
                                <m:t>β</m:t>
                              </m:r>
                            </m:e>
                          </m:acc>
                        </m:e>
                        <m:sup>
                          <m:r>
                            <m:rPr>
                              <m:sty m:val="p"/>
                            </m:rPr>
                            <m:t>⊤</m:t>
                          </m:r>
                        </m:sup>
                      </m:sSup>
                      <m:sSub>
                        <m:e>
                          <m:r>
                            <m:rPr>
                              <m:sty m:val="b"/>
                            </m:rPr>
                            <m:t>x</m:t>
                          </m:r>
                        </m:e>
                        <m:sub>
                          <m:r>
                            <m:t>i</m:t>
                          </m:r>
                        </m:sub>
                      </m:sSub>
                    </m:e>
                  </m:d>
                </m:den>
              </m:f>
              <m:r>
                <m:rPr>
                  <m:sty m:val="p"/>
                </m:rPr>
                <m:t>−</m:t>
              </m:r>
              <m:sSub>
                <m:e>
                  <m:r>
                    <m:t>x</m:t>
                  </m:r>
                </m:e>
                <m:sub>
                  <m:r>
                    <m:t>1</m:t>
                  </m:r>
                  <m:r>
                    <m:rPr>
                      <m:sty m:val="p"/>
                    </m:rPr>
                    <m:t>,</m:t>
                  </m:r>
                  <m:r>
                    <m:t>q</m:t>
                  </m:r>
                </m:sub>
              </m:sSub>
            </m:e>
          </m:d>
          <m:r>
            <m:rPr>
              <m:sty m:val="p"/>
            </m:rPr>
            <m:t>=</m:t>
          </m:r>
          <m:f>
            <m:fPr>
              <m:type m:val="bar"/>
            </m:fPr>
            <m:num>
              <m:r>
                <m:t>1</m:t>
              </m:r>
            </m:num>
            <m:den>
              <m:r>
                <m:t>15000</m:t>
              </m:r>
            </m:den>
          </m:f>
          <m:d>
            <m:dPr>
              <m:begChr m:val="{"/>
              <m:sepChr m:val=""/>
              <m:endChr m:val="}"/>
              <m:grow/>
            </m:dPr>
            <m:e>
              <m:f>
                <m:fPr>
                  <m:type m:val="bar"/>
                </m:fPr>
                <m:num>
                  <m:r>
                    <m:t>10000</m:t>
                  </m:r>
                </m:num>
                <m:den>
                  <m:r>
                    <m:t>15000</m:t>
                  </m:r>
                </m:den>
              </m:f>
              <m:r>
                <m:rPr>
                  <m:sty m:val="p"/>
                </m:rPr>
                <m:t>−</m:t>
              </m:r>
              <m:r>
                <m:t>0</m:t>
              </m:r>
            </m:e>
          </m:d>
          <m:r>
            <m:rPr>
              <m:sty m:val="p"/>
            </m:rPr>
            <m:t>=</m:t>
          </m:r>
          <m:f>
            <m:fPr>
              <m:type m:val="bar"/>
            </m:fPr>
            <m:num>
              <m:r>
                <m:t>2</m:t>
              </m:r>
            </m:num>
            <m:den>
              <m:r>
                <m:t>450000</m:t>
              </m:r>
            </m:den>
          </m:f>
          <m:r>
            <m:t> </m:t>
          </m:r>
          <m:d>
            <m:dPr>
              <m:begChr m:val="("/>
              <m:sepChr m:val=""/>
              <m:endChr m:val=")"/>
              <m:grow/>
            </m:dPr>
            <m:e>
              <m:r>
                <m:t>8</m:t>
              </m:r>
            </m:e>
          </m:d>
        </m:oMath>
      </m:oMathPara>
    </w:p>
    <w:p>
      <w:pPr>
        <w:pStyle w:val="FirstParagraph"/>
      </w:pPr>
      <m:oMathPara>
        <m:oMathParaPr>
          <m:jc m:val="center"/>
        </m:oMathParaPr>
        <m:oMath>
          <m:f>
            <m:fPr>
              <m:type m:val="bar"/>
            </m:fPr>
            <m:num>
              <m:r>
                <m:rPr>
                  <m:sty m:val="p"/>
                </m:rPr>
                <m:t>∂</m:t>
              </m:r>
              <m:acc>
                <m:accPr>
                  <m:chr m:val="̂"/>
                </m:accPr>
                <m:e>
                  <m:r>
                    <m:t>S</m:t>
                  </m:r>
                </m:e>
              </m:acc>
              <m:d>
                <m:dPr>
                  <m:begChr m:val="("/>
                  <m:sepChr m:val=""/>
                  <m:endChr m:val=")"/>
                  <m:grow/>
                </m:dPr>
                <m:e>
                  <m:sSub>
                    <m:e>
                      <m:r>
                        <m:t>t</m:t>
                      </m:r>
                    </m:e>
                    <m:sub>
                      <m:r>
                        <m:t>1</m:t>
                      </m:r>
                    </m:sub>
                  </m:sSub>
                  <m:r>
                    <m:rPr>
                      <m:sty m:val="p"/>
                    </m:rPr>
                    <m:t>|</m:t>
                  </m:r>
                  <m:sSub>
                    <m:e>
                      <m:r>
                        <m:rPr>
                          <m:sty m:val="b"/>
                        </m:rPr>
                        <m:t>x</m:t>
                      </m:r>
                    </m:e>
                    <m:sub>
                      <m:r>
                        <m:t>1</m:t>
                      </m:r>
                    </m:sub>
                  </m:sSub>
                  <m:r>
                    <m:rPr>
                      <m:sty m:val="p"/>
                    </m:rPr>
                    <m:t>=</m:t>
                  </m:r>
                  <m:r>
                    <m:t>0</m:t>
                  </m:r>
                </m:e>
              </m:d>
            </m:num>
            <m:den>
              <m:r>
                <m:rPr>
                  <m:sty m:val="p"/>
                </m:rPr>
                <m:t>∂</m:t>
              </m:r>
              <m:r>
                <m:rPr>
                  <m:sty m:val="b"/>
                </m:rPr>
                <m:t>β</m:t>
              </m:r>
            </m:den>
          </m:f>
          <m:r>
            <m:rPr>
              <m:sty m:val="p"/>
            </m:rPr>
            <m:t>=</m:t>
          </m:r>
          <m:f>
            <m:fPr>
              <m:type m:val="bar"/>
            </m:fPr>
            <m:num>
              <m:r>
                <m:rPr>
                  <m:sty m:val="p"/>
                </m:rPr>
                <m:t>exp</m:t>
              </m:r>
              <m:d>
                <m:dPr>
                  <m:begChr m:val="("/>
                  <m:sepChr m:val=""/>
                  <m:endChr m:val=")"/>
                  <m:grow/>
                </m:dPr>
                <m:e>
                  <m:sSup>
                    <m:e>
                      <m:acc>
                        <m:accPr>
                          <m:chr m:val="̂"/>
                        </m:accPr>
                        <m:e>
                          <m:r>
                            <m:rPr>
                              <m:sty m:val="b"/>
                            </m:rPr>
                            <m:t>β</m:t>
                          </m:r>
                        </m:e>
                      </m:acc>
                    </m:e>
                    <m:sup>
                      <m:r>
                        <m:rPr>
                          <m:sty m:val="p"/>
                        </m:rPr>
                        <m:t>⊤</m:t>
                      </m:r>
                    </m:sup>
                  </m:sSup>
                  <m:sSub>
                    <m:e>
                      <m:r>
                        <m:rPr>
                          <m:sty m:val="b"/>
                        </m:rPr>
                        <m:t>x</m:t>
                      </m:r>
                    </m:e>
                    <m:sub>
                      <m:r>
                        <m:t>1</m:t>
                      </m:r>
                    </m:sub>
                  </m:sSub>
                </m:e>
              </m:d>
            </m:num>
            <m:den>
              <m:nary>
                <m:naryPr>
                  <m:chr m:val="∑"/>
                  <m:limLoc m:val="undOvr"/>
                  <m:subHide m:val="off"/>
                  <m:supHide m:val="on"/>
                </m:naryPr>
                <m:sub>
                  <m:r>
                    <m:t>i</m:t>
                  </m:r>
                  <m:r>
                    <m:rPr>
                      <m:sty m:val="p"/>
                    </m:rPr>
                    <m:t>∈</m:t>
                  </m:r>
                  <m:sSub>
                    <m:e>
                      <m:r>
                        <m:t>R</m:t>
                      </m:r>
                    </m:e>
                    <m:sub>
                      <m:r>
                        <m:t>1</m:t>
                      </m:r>
                    </m:sub>
                  </m:sSub>
                </m:sub>
                <m:sup>
                  <m:r>
                    <m:t>​</m:t>
                  </m:r>
                </m:sup>
                <m:e>
                  <m:r>
                    <m:rPr>
                      <m:sty m:val="p"/>
                    </m:rPr>
                    <m:t>exp</m:t>
                  </m:r>
                </m:e>
              </m:nary>
              <m:d>
                <m:dPr>
                  <m:begChr m:val="("/>
                  <m:sepChr m:val=""/>
                  <m:endChr m:val=")"/>
                  <m:grow/>
                </m:dPr>
                <m:e>
                  <m:sSup>
                    <m:e>
                      <m:acc>
                        <m:accPr>
                          <m:chr m:val="̂"/>
                        </m:accPr>
                        <m:e>
                          <m:r>
                            <m:rPr>
                              <m:sty m:val="b"/>
                            </m:rPr>
                            <m:t>β</m:t>
                          </m:r>
                        </m:e>
                      </m:acc>
                    </m:e>
                    <m:sup>
                      <m:r>
                        <m:rPr>
                          <m:sty m:val="p"/>
                        </m:rPr>
                        <m:t>⊤</m:t>
                      </m:r>
                    </m:sup>
                  </m:sSup>
                  <m:sSub>
                    <m:e>
                      <m:r>
                        <m:rPr>
                          <m:sty m:val="b"/>
                        </m:rPr>
                        <m:t>x</m:t>
                      </m:r>
                    </m:e>
                    <m:sub>
                      <m:r>
                        <m:t>i</m:t>
                      </m:r>
                    </m:sub>
                  </m:sSub>
                </m:e>
              </m:d>
            </m:den>
          </m:f>
          <m:d>
            <m:dPr>
              <m:begChr m:val="{"/>
              <m:sepChr m:val=""/>
              <m:endChr m:val="}"/>
              <m:grow/>
            </m:dPr>
            <m:e>
              <m:f>
                <m:fPr>
                  <m:type m:val="bar"/>
                </m:fPr>
                <m:num>
                  <m:nary>
                    <m:naryPr>
                      <m:chr m:val="∑"/>
                      <m:limLoc m:val="undOvr"/>
                      <m:subHide m:val="off"/>
                      <m:supHide m:val="on"/>
                    </m:naryPr>
                    <m:sub>
                      <m:r>
                        <m:t>i</m:t>
                      </m:r>
                      <m:r>
                        <m:rPr>
                          <m:sty m:val="p"/>
                        </m:rPr>
                        <m:t>∈</m:t>
                      </m:r>
                      <m:sSub>
                        <m:e>
                          <m:r>
                            <m:t>R</m:t>
                          </m:r>
                        </m:e>
                        <m:sub>
                          <m:r>
                            <m:t>1</m:t>
                          </m:r>
                        </m:sub>
                      </m:sSub>
                    </m:sub>
                    <m:sup>
                      <m:r>
                        <m:t>​</m:t>
                      </m:r>
                    </m:sup>
                    <m:e>
                      <m:sSub>
                        <m:e>
                          <m:r>
                            <m:t>x</m:t>
                          </m:r>
                        </m:e>
                        <m:sub>
                          <m:r>
                            <m:t>i</m:t>
                          </m:r>
                          <m:r>
                            <m:rPr>
                              <m:sty m:val="p"/>
                            </m:rPr>
                            <m:t>,</m:t>
                          </m:r>
                          <m:r>
                            <m:t>q</m:t>
                          </m:r>
                        </m:sub>
                      </m:sSub>
                    </m:e>
                  </m:nary>
                  <m:r>
                    <m:rPr>
                      <m:sty m:val="p"/>
                    </m:rPr>
                    <m:t>exp</m:t>
                  </m:r>
                  <m:d>
                    <m:dPr>
                      <m:begChr m:val="("/>
                      <m:sepChr m:val=""/>
                      <m:endChr m:val=")"/>
                      <m:grow/>
                    </m:dPr>
                    <m:e>
                      <m:sSup>
                        <m:e>
                          <m:acc>
                            <m:accPr>
                              <m:chr m:val="̂"/>
                            </m:accPr>
                            <m:e>
                              <m:r>
                                <m:rPr>
                                  <m:sty m:val="b"/>
                                </m:rPr>
                                <m:t>β</m:t>
                              </m:r>
                            </m:e>
                          </m:acc>
                        </m:e>
                        <m:sup>
                          <m:r>
                            <m:rPr>
                              <m:sty m:val="p"/>
                            </m:rPr>
                            <m:t>⊤</m:t>
                          </m:r>
                        </m:sup>
                      </m:sSup>
                      <m:sSub>
                        <m:e>
                          <m:r>
                            <m:rPr>
                              <m:sty m:val="b"/>
                            </m:rPr>
                            <m:t>x</m:t>
                          </m:r>
                        </m:e>
                        <m:sub>
                          <m:r>
                            <m:t>i</m:t>
                          </m:r>
                        </m:sub>
                      </m:sSub>
                    </m:e>
                  </m:d>
                </m:num>
                <m:den>
                  <m:nary>
                    <m:naryPr>
                      <m:chr m:val="∑"/>
                      <m:limLoc m:val="undOvr"/>
                      <m:subHide m:val="off"/>
                      <m:supHide m:val="on"/>
                    </m:naryPr>
                    <m:sub>
                      <m:r>
                        <m:t>i</m:t>
                      </m:r>
                      <m:r>
                        <m:rPr>
                          <m:sty m:val="p"/>
                        </m:rPr>
                        <m:t>∈</m:t>
                      </m:r>
                      <m:sSub>
                        <m:e>
                          <m:r>
                            <m:t>R</m:t>
                          </m:r>
                        </m:e>
                        <m:sub>
                          <m:r>
                            <m:t>1</m:t>
                          </m:r>
                        </m:sub>
                      </m:sSub>
                    </m:sub>
                    <m:sup>
                      <m:r>
                        <m:t>​</m:t>
                      </m:r>
                    </m:sup>
                    <m:e>
                      <m:r>
                        <m:rPr>
                          <m:sty m:val="p"/>
                        </m:rPr>
                        <m:t>exp</m:t>
                      </m:r>
                    </m:e>
                  </m:nary>
                  <m:d>
                    <m:dPr>
                      <m:begChr m:val="("/>
                      <m:sepChr m:val=""/>
                      <m:endChr m:val=")"/>
                      <m:grow/>
                    </m:dPr>
                    <m:e>
                      <m:sSup>
                        <m:e>
                          <m:acc>
                            <m:accPr>
                              <m:chr m:val="̂"/>
                            </m:accPr>
                            <m:e>
                              <m:r>
                                <m:rPr>
                                  <m:sty m:val="b"/>
                                </m:rPr>
                                <m:t>β</m:t>
                              </m:r>
                            </m:e>
                          </m:acc>
                        </m:e>
                        <m:sup>
                          <m:r>
                            <m:rPr>
                              <m:sty m:val="p"/>
                            </m:rPr>
                            <m:t>⊤</m:t>
                          </m:r>
                        </m:sup>
                      </m:sSup>
                      <m:sSub>
                        <m:e>
                          <m:r>
                            <m:rPr>
                              <m:sty m:val="b"/>
                            </m:rPr>
                            <m:t>x</m:t>
                          </m:r>
                        </m:e>
                        <m:sub>
                          <m:r>
                            <m:t>i</m:t>
                          </m:r>
                        </m:sub>
                      </m:sSub>
                    </m:e>
                  </m:d>
                </m:den>
              </m:f>
              <m:r>
                <m:rPr>
                  <m:sty m:val="p"/>
                </m:rPr>
                <m:t>−</m:t>
              </m:r>
              <m:sSub>
                <m:e>
                  <m:r>
                    <m:t>x</m:t>
                  </m:r>
                </m:e>
                <m:sub>
                  <m:r>
                    <m:t>1</m:t>
                  </m:r>
                  <m:r>
                    <m:rPr>
                      <m:sty m:val="p"/>
                    </m:rPr>
                    <m:t>,</m:t>
                  </m:r>
                  <m:r>
                    <m:t>q</m:t>
                  </m:r>
                </m:sub>
              </m:sSub>
            </m:e>
          </m:d>
          <m:r>
            <m:rPr>
              <m:sty m:val="p"/>
            </m:rPr>
            <m:t>=</m:t>
          </m:r>
          <m:f>
            <m:fPr>
              <m:type m:val="bar"/>
            </m:fPr>
            <m:num>
              <m:r>
                <m:t>2</m:t>
              </m:r>
            </m:num>
            <m:den>
              <m:r>
                <m:t>15000</m:t>
              </m:r>
            </m:den>
          </m:f>
          <m:d>
            <m:dPr>
              <m:begChr m:val="{"/>
              <m:sepChr m:val=""/>
              <m:endChr m:val="}"/>
              <m:grow/>
            </m:dPr>
            <m:e>
              <m:f>
                <m:fPr>
                  <m:type m:val="bar"/>
                </m:fPr>
                <m:num>
                  <m:r>
                    <m:t>10000</m:t>
                  </m:r>
                </m:num>
                <m:den>
                  <m:r>
                    <m:t>15000</m:t>
                  </m:r>
                </m:den>
              </m:f>
              <m:r>
                <m:rPr>
                  <m:sty m:val="p"/>
                </m:rPr>
                <m:t>−</m:t>
              </m:r>
              <m:r>
                <m:t>1</m:t>
              </m:r>
            </m:e>
          </m:d>
          <m:r>
            <m:rPr>
              <m:sty m:val="p"/>
            </m:rPr>
            <m:t>=</m:t>
          </m:r>
          <m:r>
            <m:rPr>
              <m:sty m:val="p"/>
            </m:rPr>
            <m:t>−</m:t>
          </m:r>
          <m:f>
            <m:fPr>
              <m:type m:val="bar"/>
            </m:fPr>
            <m:num>
              <m:r>
                <m:t>2</m:t>
              </m:r>
            </m:num>
            <m:den>
              <m:r>
                <m:t>450000</m:t>
              </m:r>
            </m:den>
          </m:f>
          <m:r>
            <m:t> </m:t>
          </m:r>
          <m:d>
            <m:dPr>
              <m:begChr m:val="("/>
              <m:sepChr m:val=""/>
              <m:endChr m:val=")"/>
              <m:grow/>
            </m:dPr>
            <m:e>
              <m:r>
                <m:t>9</m:t>
              </m:r>
            </m:e>
          </m:d>
        </m:oMath>
      </m:oMathPara>
    </w:p>
    <w:p>
      <w:pPr>
        <w:pStyle w:val="FirstParagraph"/>
      </w:pPr>
      <w:r>
        <w:t xml:space="preserve">and because we multiply them (equation 3), sign cancels out. Therefore, the uncertainty from coefficient estimation is the same for both men and women since the variance of the coefficient is constant. Compare this to the gradient when there are twice as many women as men remaining in the risk set</w:t>
      </w:r>
      <w:r>
        <w:t xml:space="preserve"> </w:t>
      </w:r>
      <m:oMath>
        <m:d>
          <m:dPr>
            <m:begChr m:val="("/>
            <m:sepChr m:val=""/>
            <m:endChr m:val=")"/>
            <m:grow/>
          </m:dPr>
          <m:e>
            <m:sSub>
              <m:e>
                <m:r>
                  <m:t>S</m:t>
                </m:r>
              </m:e>
              <m:sub>
                <m:r>
                  <m:t>w</m:t>
                </m:r>
                <m:r>
                  <m:t>o</m:t>
                </m:r>
                <m:r>
                  <m:t>m</m:t>
                </m:r>
                <m:r>
                  <m:t>e</m:t>
                </m:r>
                <m:r>
                  <m:t>n</m:t>
                </m:r>
              </m:sub>
            </m:sSub>
            <m:d>
              <m:dPr>
                <m:begChr m:val="("/>
                <m:sepChr m:val=""/>
                <m:endChr m:val=")"/>
                <m:grow/>
              </m:dPr>
              <m:e>
                <m:sSub>
                  <m:e>
                    <m:r>
                      <m:t>t</m:t>
                    </m:r>
                  </m:e>
                  <m:sub>
                    <m:r>
                      <m:rPr>
                        <m:sty m:val="p"/>
                      </m:rPr>
                      <m:t>*</m:t>
                    </m:r>
                  </m:sub>
                </m:sSub>
              </m:e>
            </m:d>
            <m:r>
              <m:rPr>
                <m:sty m:val="p"/>
              </m:rPr>
              <m:t>=</m:t>
            </m:r>
            <m:r>
              <m:t>2</m:t>
            </m:r>
            <m:sSub>
              <m:e>
                <m:r>
                  <m:t>S</m:t>
                </m:r>
              </m:e>
              <m:sub>
                <m:r>
                  <m:t>m</m:t>
                </m:r>
                <m:r>
                  <m:t>e</m:t>
                </m:r>
                <m:r>
                  <m:t>n</m:t>
                </m:r>
              </m:sub>
            </m:sSub>
            <m:d>
              <m:dPr>
                <m:begChr m:val="("/>
                <m:sepChr m:val=""/>
                <m:endChr m:val=")"/>
                <m:grow/>
              </m:dPr>
              <m:e>
                <m:sSub>
                  <m:e>
                    <m:r>
                      <m:t>t</m:t>
                    </m:r>
                  </m:e>
                  <m:sub>
                    <m:r>
                      <m:rPr>
                        <m:sty m:val="p"/>
                      </m:rPr>
                      <m:t>*</m:t>
                    </m:r>
                  </m:sub>
                </m:sSub>
              </m:e>
            </m:d>
          </m:e>
        </m:d>
      </m:oMath>
      <w:r>
        <w:t xml:space="preserve">. At time</w:t>
      </w:r>
      <w:r>
        <w:t xml:space="preserve"> </w:t>
      </w:r>
      <m:oMath>
        <m:sSub>
          <m:e>
            <m:r>
              <m:t>t</m:t>
            </m:r>
          </m:e>
          <m:sub>
            <m:r>
              <m:rPr>
                <m:sty m:val="p"/>
              </m:rPr>
              <m:t>*</m:t>
            </m:r>
          </m:sub>
        </m:sSub>
      </m:oMath>
      <w:r>
        <w:t xml:space="preserve">, the gradient changes</w:t>
      </w:r>
      <w:r>
        <w:t xml:space="preserve"> </w:t>
      </w:r>
      <m:oMath>
        <m:d>
          <m:dPr>
            <m:begChr m:val="("/>
            <m:sepChr m:val=""/>
            <m:endChr m:val=")"/>
            <m:grow/>
          </m:dPr>
          <m:e>
            <m:f>
              <m:fPr>
                <m:type m:val="bar"/>
              </m:fPr>
              <m:num>
                <m:r>
                  <m:rPr>
                    <m:sty m:val="p"/>
                  </m:rPr>
                  <m:t>∂</m:t>
                </m:r>
                <m:acc>
                  <m:accPr>
                    <m:chr m:val="̂"/>
                  </m:accPr>
                  <m:e>
                    <m:r>
                      <m:t>S</m:t>
                    </m:r>
                  </m:e>
                </m:acc>
                <m:d>
                  <m:dPr>
                    <m:begChr m:val="("/>
                    <m:sepChr m:val=""/>
                    <m:endChr m:val=")"/>
                    <m:grow/>
                  </m:dPr>
                  <m:e>
                    <m:sSub>
                      <m:e>
                        <m:r>
                          <m:t>t</m:t>
                        </m:r>
                      </m:e>
                      <m:sub>
                        <m:r>
                          <m:rPr>
                            <m:sty m:val="p"/>
                          </m:rPr>
                          <m:t>*</m:t>
                        </m:r>
                      </m:sub>
                    </m:sSub>
                    <m:r>
                      <m:rPr>
                        <m:sty m:val="p"/>
                      </m:rPr>
                      <m:t>|</m:t>
                    </m:r>
                    <m:sSub>
                      <m:e>
                        <m:r>
                          <m:rPr>
                            <m:sty m:val="b"/>
                          </m:rPr>
                          <m:t>x</m:t>
                        </m:r>
                      </m:e>
                      <m:sub>
                        <m:r>
                          <m:rPr>
                            <m:sty m:val="b"/>
                          </m:rPr>
                          <m:t>n</m:t>
                        </m:r>
                        <m:r>
                          <m:rPr>
                            <m:sty m:val="b"/>
                          </m:rPr>
                          <m:t>e</m:t>
                        </m:r>
                        <m:r>
                          <m:rPr>
                            <m:sty m:val="b"/>
                          </m:rPr>
                          <m:t>w</m:t>
                        </m:r>
                      </m:sub>
                    </m:sSub>
                  </m:e>
                </m:d>
              </m:num>
              <m:den>
                <m:r>
                  <m:rPr>
                    <m:sty m:val="p"/>
                  </m:rPr>
                  <m:t>∂</m:t>
                </m:r>
                <m:r>
                  <m:rPr>
                    <m:sty m:val="b"/>
                  </m:rPr>
                  <m:t>β</m:t>
                </m:r>
              </m:den>
            </m:f>
            <m:r>
              <m:rPr>
                <m:sty m:val="p"/>
              </m:rPr>
              <m:t>−</m:t>
            </m:r>
            <m:f>
              <m:fPr>
                <m:type m:val="bar"/>
              </m:fPr>
              <m:num>
                <m:r>
                  <m:rPr>
                    <m:sty m:val="p"/>
                  </m:rPr>
                  <m:t>∂</m:t>
                </m:r>
                <m:acc>
                  <m:accPr>
                    <m:chr m:val="̂"/>
                  </m:accPr>
                  <m:e>
                    <m:r>
                      <m:t>S</m:t>
                    </m:r>
                  </m:e>
                </m:acc>
                <m:d>
                  <m:dPr>
                    <m:begChr m:val="("/>
                    <m:sepChr m:val=""/>
                    <m:endChr m:val=")"/>
                    <m:grow/>
                  </m:dPr>
                  <m:e>
                    <m:sSub>
                      <m:e>
                        <m:r>
                          <m:t>t</m:t>
                        </m:r>
                      </m:e>
                      <m:sub>
                        <m:r>
                          <m:rPr>
                            <m:sty m:val="p"/>
                          </m:rPr>
                          <m:t>*</m:t>
                        </m:r>
                        <m:r>
                          <m:rPr>
                            <m:sty m:val="p"/>
                          </m:rPr>
                          <m:t>−</m:t>
                        </m:r>
                        <m:r>
                          <m:t>1</m:t>
                        </m:r>
                      </m:sub>
                    </m:sSub>
                    <m:r>
                      <m:rPr>
                        <m:sty m:val="p"/>
                      </m:rPr>
                      <m:t>|</m:t>
                    </m:r>
                    <m:sSub>
                      <m:e>
                        <m:r>
                          <m:rPr>
                            <m:sty m:val="b"/>
                          </m:rPr>
                          <m:t>x</m:t>
                        </m:r>
                      </m:e>
                      <m:sub>
                        <m:r>
                          <m:rPr>
                            <m:sty m:val="b"/>
                          </m:rPr>
                          <m:t>n</m:t>
                        </m:r>
                        <m:r>
                          <m:rPr>
                            <m:sty m:val="b"/>
                          </m:rPr>
                          <m:t>e</m:t>
                        </m:r>
                        <m:r>
                          <m:rPr>
                            <m:sty m:val="b"/>
                          </m:rPr>
                          <m:t>w</m:t>
                        </m:r>
                      </m:sub>
                    </m:sSub>
                  </m:e>
                </m:d>
              </m:num>
              <m:den>
                <m:r>
                  <m:rPr>
                    <m:sty m:val="p"/>
                  </m:rPr>
                  <m:t>∂</m:t>
                </m:r>
                <m:r>
                  <m:rPr>
                    <m:sty m:val="b"/>
                  </m:rPr>
                  <m:t>β</m:t>
                </m:r>
              </m:den>
            </m:f>
          </m:e>
        </m:d>
      </m:oMath>
      <w:r>
        <w:t xml:space="preserve"> </w:t>
      </w:r>
      <w:r>
        <w:t xml:space="preserve">by</w:t>
      </w:r>
      <w:r>
        <w:t xml:space="preserve"> </w:t>
      </w:r>
      <m:oMath>
        <m:f>
          <m:fPr>
            <m:type m:val="bar"/>
          </m:fPr>
          <m:num>
            <m:r>
              <m:t>1</m:t>
            </m:r>
          </m:num>
          <m:den>
            <m:r>
              <m:t>10000</m:t>
            </m:r>
          </m:den>
        </m:f>
      </m:oMath>
      <w:r>
        <w:t xml:space="preserve"> </w:t>
      </w:r>
      <w:r>
        <w:t xml:space="preserve">for women and</w:t>
      </w:r>
      <w:r>
        <w:t xml:space="preserve"> </w:t>
      </w:r>
      <m:oMath>
        <m:f>
          <m:fPr>
            <m:type m:val="bar"/>
          </m:fPr>
          <m:num>
            <m:r>
              <m:rPr>
                <m:sty m:val="p"/>
              </m:rPr>
              <m:t>−</m:t>
            </m:r>
            <m:r>
              <m:t>2</m:t>
            </m:r>
          </m:num>
          <m:den>
            <m:r>
              <m:t>10000</m:t>
            </m:r>
          </m:den>
        </m:f>
      </m:oMath>
      <w:r>
        <w:t xml:space="preserve"> </w:t>
      </w:r>
      <w:r>
        <w:t xml:space="preserve">for men. With twice as many women alive as men, the distance from men to the population mean is now twice as high as for women and the gradient for men also changes at twice the rate as that for women.</w:t>
      </w:r>
    </w:p>
    <w:p>
      <w:pPr>
        <w:pStyle w:val="BodyText"/>
      </w:pPr>
      <w:r>
        <w:t xml:space="preserve">We need to investigate this at a time where we have quite a lot of knowledge of the ratio of the two groups in the data. At some point in time, the ratio between the two survival probabilities will be exactly 2. We will evaluate at this time</w:t>
      </w:r>
      <w:r>
        <w:t xml:space="preserve"> </w:t>
      </w:r>
      <m:oMath>
        <m:r>
          <m:t>t</m:t>
        </m:r>
      </m:oMath>
      <w:r>
        <w:t xml:space="preserve">. We can find this by calculating:</w:t>
      </w:r>
    </w:p>
    <w:p>
      <w:pPr>
        <w:pStyle w:val="BodyText"/>
      </w:pPr>
      <m:oMathPara>
        <m:oMathParaPr>
          <m:jc m:val="center"/>
        </m:oMathParaPr>
        <m:oMath>
          <m:f>
            <m:fPr>
              <m:type m:val="bar"/>
            </m:fPr>
            <m:num>
              <m:r>
                <m:t>S</m:t>
              </m:r>
              <m:d>
                <m:dPr>
                  <m:begChr m:val="("/>
                  <m:sepChr m:val=""/>
                  <m:endChr m:val=")"/>
                  <m:grow/>
                </m:dPr>
                <m:e>
                  <m:r>
                    <m:t>t</m:t>
                  </m:r>
                  <m:r>
                    <m:rPr>
                      <m:sty m:val="p"/>
                    </m:rPr>
                    <m:t>|</m:t>
                  </m:r>
                  <m:r>
                    <m:t>W</m:t>
                  </m:r>
                  <m:r>
                    <m:t>o</m:t>
                  </m:r>
                  <m:r>
                    <m:t>m</m:t>
                  </m:r>
                  <m:r>
                    <m:t>a</m:t>
                  </m:r>
                  <m:r>
                    <m:t>n</m:t>
                  </m:r>
                </m:e>
              </m:d>
            </m:num>
            <m:den>
              <m:r>
                <m:t>S</m:t>
              </m:r>
              <m:d>
                <m:dPr>
                  <m:begChr m:val="("/>
                  <m:sepChr m:val=""/>
                  <m:endChr m:val=")"/>
                  <m:grow/>
                </m:dPr>
                <m:e>
                  <m:r>
                    <m:t>t</m:t>
                  </m:r>
                  <m:r>
                    <m:rPr>
                      <m:sty m:val="p"/>
                    </m:rPr>
                    <m:t>|</m:t>
                  </m:r>
                  <m:r>
                    <m:t>M</m:t>
                  </m:r>
                  <m:r>
                    <m:t>a</m:t>
                  </m:r>
                  <m:r>
                    <m:t>n</m:t>
                  </m:r>
                </m:e>
              </m:d>
            </m:den>
          </m:f>
          <m:r>
            <m:rPr>
              <m:sty m:val="p"/>
            </m:rPr>
            <m:t>=</m:t>
          </m:r>
          <m:r>
            <m:t>2</m:t>
          </m:r>
        </m:oMath>
      </m:oMathPara>
    </w:p>
    <w:p>
      <w:pPr>
        <w:pStyle w:val="FirstParagraph"/>
      </w:pPr>
      <m:oMathPara>
        <m:oMathParaPr>
          <m:jc m:val="center"/>
        </m:oMathParaPr>
        <m:oMath>
          <m:r>
            <m:rPr>
              <m:sty m:val="p"/>
            </m:rPr>
            <m:t>log</m:t>
          </m:r>
          <m:d>
            <m:dPr>
              <m:begChr m:val="("/>
              <m:sepChr m:val=""/>
              <m:endChr m:val=")"/>
              <m:grow/>
            </m:dPr>
            <m:e>
              <m:r>
                <m:t>S</m:t>
              </m:r>
              <m:d>
                <m:dPr>
                  <m:begChr m:val="("/>
                  <m:sepChr m:val=""/>
                  <m:endChr m:val=")"/>
                  <m:grow/>
                </m:dPr>
                <m:e>
                  <m:r>
                    <m:t>t</m:t>
                  </m:r>
                  <m:r>
                    <m:rPr>
                      <m:sty m:val="p"/>
                    </m:rPr>
                    <m:t>|</m:t>
                  </m:r>
                  <m:r>
                    <m:t>W</m:t>
                  </m:r>
                  <m:r>
                    <m:t>o</m:t>
                  </m:r>
                  <m:r>
                    <m:t>m</m:t>
                  </m:r>
                  <m:r>
                    <m:t>a</m:t>
                  </m:r>
                  <m:r>
                    <m:t>n</m:t>
                  </m:r>
                </m:e>
              </m:d>
            </m:e>
          </m:d>
          <m:r>
            <m:rPr>
              <m:sty m:val="p"/>
            </m:rPr>
            <m:t>−</m:t>
          </m:r>
          <m:r>
            <m:rPr>
              <m:sty m:val="p"/>
            </m:rPr>
            <m:t>log</m:t>
          </m:r>
          <m:d>
            <m:dPr>
              <m:begChr m:val="("/>
              <m:sepChr m:val=""/>
              <m:endChr m:val=")"/>
              <m:grow/>
            </m:dPr>
            <m:e>
              <m:r>
                <m:t>S</m:t>
              </m:r>
              <m:d>
                <m:dPr>
                  <m:begChr m:val="("/>
                  <m:sepChr m:val=""/>
                  <m:endChr m:val=")"/>
                  <m:grow/>
                </m:dPr>
                <m:e>
                  <m:r>
                    <m:t>t</m:t>
                  </m:r>
                  <m:r>
                    <m:rPr>
                      <m:sty m:val="p"/>
                    </m:rPr>
                    <m:t>|</m:t>
                  </m:r>
                  <m:r>
                    <m:t>M</m:t>
                  </m:r>
                  <m:r>
                    <m:t>a</m:t>
                  </m:r>
                  <m:r>
                    <m:t>n</m:t>
                  </m:r>
                </m:e>
              </m:d>
            </m:e>
          </m:d>
          <m:r>
            <m:rPr>
              <m:sty m:val="p"/>
            </m:rPr>
            <m:t>=</m:t>
          </m:r>
          <m:r>
            <m:rPr>
              <m:sty m:val="p"/>
            </m:rPr>
            <m:t>log</m:t>
          </m:r>
          <m:d>
            <m:dPr>
              <m:begChr m:val="("/>
              <m:sepChr m:val=""/>
              <m:endChr m:val=")"/>
              <m:grow/>
            </m:dPr>
            <m:e>
              <m:r>
                <m:t>2</m:t>
              </m:r>
            </m:e>
          </m:d>
        </m:oMath>
      </m:oMathPara>
    </w:p>
    <w:p>
      <w:pPr>
        <w:pStyle w:val="FirstParagraph"/>
      </w:pPr>
      <m:oMathPara>
        <m:oMathParaPr>
          <m:jc m:val="center"/>
        </m:oMathParaPr>
        <m:oMath>
          <m:r>
            <m:rPr>
              <m:sty m:val="p"/>
            </m:rPr>
            <m:t>−</m:t>
          </m:r>
          <m:r>
            <m:t>H</m:t>
          </m:r>
          <m:d>
            <m:dPr>
              <m:begChr m:val="("/>
              <m:sepChr m:val=""/>
              <m:endChr m:val=")"/>
              <m:grow/>
            </m:dPr>
            <m:e>
              <m:r>
                <m:t>t</m:t>
              </m:r>
              <m:r>
                <m:rPr>
                  <m:sty m:val="p"/>
                </m:rPr>
                <m:t>|</m:t>
              </m:r>
              <m:r>
                <m:t>W</m:t>
              </m:r>
              <m:r>
                <m:t>o</m:t>
              </m:r>
              <m:r>
                <m:t>m</m:t>
              </m:r>
              <m:r>
                <m:t>a</m:t>
              </m:r>
              <m:r>
                <m:t>n</m:t>
              </m:r>
            </m:e>
          </m:d>
          <m:r>
            <m:rPr>
              <m:sty m:val="p"/>
            </m:rPr>
            <m:t>+</m:t>
          </m:r>
          <m:r>
            <m:t>H</m:t>
          </m:r>
          <m:d>
            <m:dPr>
              <m:begChr m:val="("/>
              <m:sepChr m:val=""/>
              <m:endChr m:val=")"/>
              <m:grow/>
            </m:dPr>
            <m:e>
              <m:r>
                <m:t>t</m:t>
              </m:r>
              <m:r>
                <m:rPr>
                  <m:sty m:val="p"/>
                </m:rPr>
                <m:t>|</m:t>
              </m:r>
              <m:r>
                <m:t>M</m:t>
              </m:r>
              <m:r>
                <m:t>a</m:t>
              </m:r>
              <m:r>
                <m:t>n</m:t>
              </m:r>
            </m:e>
          </m:d>
          <m:r>
            <m:rPr>
              <m:sty m:val="p"/>
            </m:rPr>
            <m:t>=</m:t>
          </m:r>
          <m:r>
            <m:rPr>
              <m:sty m:val="p"/>
            </m:rPr>
            <m:t>log</m:t>
          </m:r>
          <m:d>
            <m:dPr>
              <m:begChr m:val="("/>
              <m:sepChr m:val=""/>
              <m:endChr m:val=")"/>
              <m:grow/>
            </m:dPr>
            <m:e>
              <m:r>
                <m:t>2</m:t>
              </m:r>
            </m:e>
          </m:d>
        </m:oMath>
      </m:oMathPara>
    </w:p>
    <w:p>
      <w:pPr>
        <w:pStyle w:val="FirstParagraph"/>
      </w:pPr>
      <m:oMathPara>
        <m:oMathParaPr>
          <m:jc m:val="center"/>
        </m:oMathParaPr>
        <m:oMath>
          <m:r>
            <m:rPr>
              <m:sty m:val="p"/>
            </m:rPr>
            <m:t>−</m:t>
          </m:r>
          <m:r>
            <m:t>10</m:t>
          </m:r>
          <m:r>
            <m:t>t</m:t>
          </m:r>
          <m:r>
            <m:rPr>
              <m:sty m:val="p"/>
            </m:rPr>
            <m:t>+</m:t>
          </m:r>
          <m:r>
            <m:t>H</m:t>
          </m:r>
          <m:r>
            <m:t>R</m:t>
          </m:r>
          <m:r>
            <m:rPr>
              <m:sty m:val="p"/>
            </m:rPr>
            <m:t>⋅</m:t>
          </m:r>
          <m:r>
            <m:t>10</m:t>
          </m:r>
          <m:r>
            <m:t>t</m:t>
          </m:r>
          <m:r>
            <m:rPr>
              <m:sty m:val="p"/>
            </m:rPr>
            <m:t>=</m:t>
          </m:r>
          <m:r>
            <m:rPr>
              <m:sty m:val="p"/>
            </m:rPr>
            <m:t>log</m:t>
          </m:r>
          <m:d>
            <m:dPr>
              <m:begChr m:val="("/>
              <m:sepChr m:val=""/>
              <m:endChr m:val=")"/>
              <m:grow/>
            </m:dPr>
            <m:e>
              <m:r>
                <m:t>2</m:t>
              </m:r>
            </m:e>
          </m:d>
        </m:oMath>
      </m:oMathPara>
    </w:p>
    <w:p>
      <w:pPr>
        <w:pStyle w:val="FirstParagraph"/>
      </w:pPr>
      <m:oMathPara>
        <m:oMathParaPr>
          <m:jc m:val="center"/>
        </m:oMathParaPr>
        <m:oMath>
          <m:r>
            <m:t>t</m:t>
          </m:r>
          <m:r>
            <m:rPr>
              <m:sty m:val="p"/>
            </m:rPr>
            <m:t>=</m:t>
          </m:r>
          <m:f>
            <m:fPr>
              <m:type m:val="bar"/>
            </m:fPr>
            <m:num>
              <m:r>
                <m:t>10</m:t>
              </m:r>
            </m:num>
            <m:den>
              <m:d>
                <m:dPr>
                  <m:begChr m:val="("/>
                  <m:sepChr m:val=""/>
                  <m:endChr m:val=")"/>
                  <m:grow/>
                </m:dPr>
                <m:e>
                  <m:r>
                    <m:t>H</m:t>
                  </m:r>
                  <m:r>
                    <m:t>R</m:t>
                  </m:r>
                  <m:r>
                    <m:rPr>
                      <m:sty m:val="p"/>
                    </m:rPr>
                    <m:t>−</m:t>
                  </m:r>
                  <m:r>
                    <m:t>1</m:t>
                  </m:r>
                </m:e>
              </m:d>
            </m:den>
          </m:f>
          <m:r>
            <m:rPr>
              <m:sty m:val="p"/>
            </m:rPr>
            <m:t>log</m:t>
          </m:r>
          <m:d>
            <m:dPr>
              <m:begChr m:val="("/>
              <m:sepChr m:val=""/>
              <m:endChr m:val=")"/>
              <m:grow/>
            </m:dPr>
            <m:e>
              <m:r>
                <m:t>2</m:t>
              </m:r>
            </m:e>
          </m:d>
        </m:oMath>
      </m:oMathPara>
    </w:p>
    <w:p>
      <w:pPr>
        <w:pStyle w:val="SourceCode"/>
      </w:pPr>
      <w:r>
        <w:rPr>
          <w:rStyle w:val="VerbatimChar"/>
        </w:rPr>
        <w:t xml:space="preserve">[1] "With our HR of 1.98197, this time becomes: 7.0587 time units."</w:t>
      </w:r>
    </w:p>
    <w:p>
      <w:pPr>
        <w:pStyle w:val="FirstParagraph"/>
      </w:pPr>
      <w:r>
        <w:t xml:space="preserve">First, we look at the first event time and assume no one left the risk set. At the time of the first event, we assume that the number at risk in both groups is still</w:t>
      </w:r>
      <w:r>
        <w:t xml:space="preserve"> </w:t>
      </w:r>
      <m:oMath>
        <m:r>
          <m:t>5000</m:t>
        </m:r>
      </m:oMath>
      <w:r>
        <w:t xml:space="preserve">. This means that</w:t>
      </w:r>
      <w:r>
        <w:t xml:space="preserve"> </w:t>
      </w:r>
      <m:oMath>
        <m:sSub>
          <m:e>
            <m:r>
              <m:t>w</m:t>
            </m:r>
          </m:e>
          <m:sub>
            <m:r>
              <m:t>m</m:t>
            </m:r>
            <m:r>
              <m:t>e</m:t>
            </m:r>
            <m:r>
              <m:t>n</m:t>
            </m:r>
          </m:sub>
        </m:sSub>
      </m:oMath>
      <w:r>
        <w:t xml:space="preserve"> </w:t>
      </w:r>
      <w:r>
        <w:t xml:space="preserve">is:</w:t>
      </w:r>
      <w:r>
        <w:t xml:space="preserve"> </w:t>
      </w:r>
      <m:oMath>
        <m:sSub>
          <m:e>
            <m:r>
              <m:t>w</m:t>
            </m:r>
          </m:e>
          <m:sub>
            <m:r>
              <m:t>m</m:t>
            </m:r>
            <m:r>
              <m:t>e</m:t>
            </m:r>
            <m:r>
              <m:t>n</m:t>
            </m:r>
          </m:sub>
        </m:sSub>
        <m:r>
          <m:rPr>
            <m:sty m:val="p"/>
          </m:rPr>
          <m:t>=</m:t>
        </m:r>
        <m:f>
          <m:fPr>
            <m:type m:val="bar"/>
          </m:fPr>
          <m:num>
            <m:r>
              <m:t>1</m:t>
            </m:r>
          </m:num>
          <m:den>
            <m:r>
              <m:t>5000</m:t>
            </m:r>
            <m:r>
              <m:rPr>
                <m:sty m:val="p"/>
              </m:rPr>
              <m:t>+</m:t>
            </m:r>
            <m:r>
              <m:t>2</m:t>
            </m:r>
            <m:r>
              <m:rPr>
                <m:sty m:val="p"/>
              </m:rPr>
              <m:t>⋅</m:t>
            </m:r>
            <m:r>
              <m:t>5000</m:t>
            </m:r>
          </m:den>
        </m:f>
        <m:d>
          <m:dPr>
            <m:begChr m:val="{"/>
            <m:sepChr m:val=""/>
            <m:endChr m:val="}"/>
            <m:grow/>
          </m:dPr>
          <m:e>
            <m:f>
              <m:fPr>
                <m:type m:val="bar"/>
              </m:fPr>
              <m:num>
                <m:r>
                  <m:t>2</m:t>
                </m:r>
                <m:r>
                  <m:rPr>
                    <m:sty m:val="p"/>
                  </m:rPr>
                  <m:t>⋅</m:t>
                </m:r>
                <m:r>
                  <m:t>5000</m:t>
                </m:r>
              </m:num>
              <m:den>
                <m:r>
                  <m:t>5000</m:t>
                </m:r>
                <m:r>
                  <m:rPr>
                    <m:sty m:val="p"/>
                  </m:rPr>
                  <m:t>+</m:t>
                </m:r>
                <m:r>
                  <m:t>2</m:t>
                </m:r>
                <m:r>
                  <m:rPr>
                    <m:sty m:val="p"/>
                  </m:rPr>
                  <m:t>⋅</m:t>
                </m:r>
                <m:r>
                  <m:t>5000</m:t>
                </m:r>
              </m:den>
            </m:f>
            <m:r>
              <m:rPr>
                <m:sty m:val="p"/>
              </m:rPr>
              <m:t>−</m:t>
            </m:r>
            <m:r>
              <m:t>1</m:t>
            </m:r>
          </m:e>
        </m:d>
        <m:r>
          <m:rPr>
            <m:sty m:val="p"/>
          </m:rPr>
          <m:t>=</m:t>
        </m:r>
        <m:r>
          <m:rPr>
            <m:sty m:val="p"/>
          </m:rPr>
          <m:t>−</m:t>
        </m:r>
        <m:f>
          <m:fPr>
            <m:type m:val="bar"/>
          </m:fPr>
          <m:num>
            <m:r>
              <m:t>1</m:t>
            </m:r>
          </m:num>
          <m:den>
            <m:r>
              <m:t>45000</m:t>
            </m:r>
          </m:den>
        </m:f>
      </m:oMath>
      <w:r>
        <w:t xml:space="preserve"> </w:t>
      </w:r>
      <w:r>
        <w:t xml:space="preserve">and</w:t>
      </w:r>
      <w:r>
        <w:t xml:space="preserve"> </w:t>
      </w:r>
      <m:oMath>
        <m:sSub>
          <m:e>
            <m:r>
              <m:t>w</m:t>
            </m:r>
          </m:e>
          <m:sub>
            <m:r>
              <m:t>w</m:t>
            </m:r>
            <m:r>
              <m:t>o</m:t>
            </m:r>
            <m:r>
              <m:t>m</m:t>
            </m:r>
            <m:r>
              <m:t>e</m:t>
            </m:r>
            <m:r>
              <m:t>n</m:t>
            </m:r>
          </m:sub>
        </m:sSub>
        <m:r>
          <m:rPr>
            <m:sty m:val="p"/>
          </m:rPr>
          <m:t>=</m:t>
        </m:r>
        <m:f>
          <m:fPr>
            <m:type m:val="bar"/>
          </m:fPr>
          <m:num>
            <m:r>
              <m:t>2</m:t>
            </m:r>
          </m:num>
          <m:den>
            <m:r>
              <m:t>5000</m:t>
            </m:r>
            <m:r>
              <m:rPr>
                <m:sty m:val="p"/>
              </m:rPr>
              <m:t>+</m:t>
            </m:r>
            <m:r>
              <m:t>2</m:t>
            </m:r>
            <m:r>
              <m:rPr>
                <m:sty m:val="p"/>
              </m:rPr>
              <m:t>⋅</m:t>
            </m:r>
            <m:r>
              <m:t>5000</m:t>
            </m:r>
          </m:den>
        </m:f>
        <m:d>
          <m:dPr>
            <m:begChr m:val="{"/>
            <m:sepChr m:val=""/>
            <m:endChr m:val="}"/>
            <m:grow/>
          </m:dPr>
          <m:e>
            <m:f>
              <m:fPr>
                <m:type m:val="bar"/>
              </m:fPr>
              <m:num>
                <m:r>
                  <m:t>2</m:t>
                </m:r>
                <m:r>
                  <m:rPr>
                    <m:sty m:val="p"/>
                  </m:rPr>
                  <m:t>⋅</m:t>
                </m:r>
                <m:r>
                  <m:t>5000</m:t>
                </m:r>
              </m:num>
              <m:den>
                <m:r>
                  <m:t>5000</m:t>
                </m:r>
                <m:r>
                  <m:rPr>
                    <m:sty m:val="p"/>
                  </m:rPr>
                  <m:t>+</m:t>
                </m:r>
                <m:r>
                  <m:t>2</m:t>
                </m:r>
                <m:r>
                  <m:rPr>
                    <m:sty m:val="p"/>
                  </m:rPr>
                  <m:t>⋅</m:t>
                </m:r>
                <m:r>
                  <m:t>5000</m:t>
                </m:r>
              </m:den>
            </m:f>
            <m:r>
              <m:rPr>
                <m:sty m:val="p"/>
              </m:rPr>
              <m:t>−</m:t>
            </m:r>
            <m:r>
              <m:t>0</m:t>
            </m:r>
          </m:e>
        </m:d>
        <m:r>
          <m:rPr>
            <m:sty m:val="p"/>
          </m:rPr>
          <m:t>=</m:t>
        </m:r>
        <m:f>
          <m:fPr>
            <m:type m:val="bar"/>
          </m:fPr>
          <m:num>
            <m:r>
              <m:t>2</m:t>
            </m:r>
          </m:num>
          <m:den>
            <m:r>
              <m:t>45000</m:t>
            </m:r>
          </m:den>
        </m:f>
      </m:oMath>
      <w:r>
        <w:t xml:space="preserve">.</w:t>
      </w:r>
    </w:p>
    <w:p>
      <w:pPr>
        <w:pStyle w:val="BodyText"/>
      </w:pPr>
      <w:r>
        <w:t xml:space="preserve">The gradient is</w:t>
      </w:r>
      <w:r>
        <w:t xml:space="preserve"> </w:t>
      </w:r>
      <m:oMath>
        <m:r>
          <m:rPr>
            <m:sty m:val="p"/>
          </m:rPr>
          <m:t>e</m:t>
        </m:r>
        <m:r>
          <m:rPr>
            <m:sty m:val="p"/>
          </m:rPr>
          <m:t>x</m:t>
        </m:r>
        <m:r>
          <m:rPr>
            <m:sty m:val="p"/>
          </m:rPr>
          <m:t>p</m:t>
        </m:r>
        <m:d>
          <m:dPr>
            <m:begChr m:val="("/>
            <m:sepChr m:val=""/>
            <m:endChr m:val=")"/>
            <m:grow/>
          </m:dPr>
          <m:e>
            <m:sSup>
              <m:e>
                <m:r>
                  <m:t>β</m:t>
                </m:r>
              </m:e>
              <m:sup>
                <m:r>
                  <m:rPr>
                    <m:sty m:val="p"/>
                  </m:rPr>
                  <m:t>⊤</m:t>
                </m:r>
              </m:sup>
            </m:sSup>
            <m:sSub>
              <m:e>
                <m:r>
                  <m:rPr>
                    <m:sty m:val="b"/>
                  </m:rPr>
                  <m:t>X</m:t>
                </m:r>
              </m:e>
              <m:sub>
                <m:r>
                  <m:t>n</m:t>
                </m:r>
                <m:r>
                  <m:t>e</m:t>
                </m:r>
                <m:r>
                  <m:t>w</m:t>
                </m:r>
              </m:sub>
            </m:sSub>
          </m:e>
        </m:d>
        <m:r>
          <m:t>w</m:t>
        </m:r>
      </m:oMath>
      <w:r>
        <w:t xml:space="preserve">, which is</w:t>
      </w:r>
      <w:r>
        <w:t xml:space="preserve"> </w:t>
      </w:r>
      <m:oMath>
        <m:r>
          <m:rPr>
            <m:sty m:val="p"/>
          </m:rPr>
          <m:t>−</m:t>
        </m:r>
        <m:f>
          <m:fPr>
            <m:type m:val="bar"/>
          </m:fPr>
          <m:num>
            <m:r>
              <m:t>2</m:t>
            </m:r>
          </m:num>
          <m:den>
            <m:r>
              <m:t>45000</m:t>
            </m:r>
          </m:den>
        </m:f>
      </m:oMath>
      <w:r>
        <w:t xml:space="preserve"> </w:t>
      </w:r>
      <w:r>
        <w:t xml:space="preserve">for men and</w:t>
      </w:r>
      <w:r>
        <w:t xml:space="preserve"> </w:t>
      </w:r>
      <m:oMath>
        <m:f>
          <m:fPr>
            <m:type m:val="bar"/>
          </m:fPr>
          <m:num>
            <m:r>
              <m:t>2</m:t>
            </m:r>
          </m:num>
          <m:den>
            <m:r>
              <m:t>45000</m:t>
            </m:r>
          </m:den>
        </m:f>
      </m:oMath>
      <w:r>
        <w:t xml:space="preserve"> </w:t>
      </w:r>
      <w:r>
        <w:t xml:space="preserve">for women. This is as expected, since men and women are both equally distant from the population mean in the risk set. Then the coefficient variance is (for one variable) the squared gradient times the variance of the coefficient, the last of which is constant.</w:t>
      </w:r>
    </w:p>
    <w:p>
      <w:pPr>
        <w:pStyle w:val="BodyText"/>
      </w:pPr>
      <w:r>
        <w:t xml:space="preserve">At</w:t>
      </w:r>
      <w:r>
        <w:t xml:space="preserve"> </w:t>
      </w:r>
      <m:oMath>
        <m:r>
          <m:t>t</m:t>
        </m:r>
        <m:r>
          <m:rPr>
            <m:sty m:val="p"/>
          </m:rPr>
          <m:t>=</m:t>
        </m:r>
        <m:r>
          <m:t>6.913</m:t>
        </m:r>
      </m:oMath>
      <w:r>
        <w:t xml:space="preserve">, we can calculate the increment of the gradient by hand, which should be</w:t>
      </w:r>
      <w:r>
        <w:t xml:space="preserve"> </w:t>
      </w:r>
      <m:oMath>
        <m:r>
          <m:t>2</m:t>
        </m:r>
        <m:r>
          <m:rPr>
            <m:sty m:val="p"/>
          </m:rPr>
          <m:t>⋅</m:t>
        </m:r>
        <m:sSub>
          <m:e>
            <m:r>
              <m:t>w</m:t>
            </m:r>
          </m:e>
          <m:sub>
            <m:r>
              <m:t>m</m:t>
            </m:r>
            <m:r>
              <m:t>e</m:t>
            </m:r>
            <m:r>
              <m:t>n</m:t>
            </m:r>
          </m:sub>
        </m:sSub>
        <m:r>
          <m:rPr>
            <m:sty m:val="p"/>
          </m:rPr>
          <m:t>=</m:t>
        </m:r>
        <m:r>
          <m:t>2</m:t>
        </m:r>
        <m:r>
          <m:rPr>
            <m:sty m:val="p"/>
          </m:rPr>
          <m:t>⋅</m:t>
        </m:r>
        <m:f>
          <m:fPr>
            <m:type m:val="bar"/>
          </m:fPr>
          <m:num>
            <m:r>
              <m:t>1</m:t>
            </m:r>
          </m:num>
          <m:den>
            <m:r>
              <m:t>2500</m:t>
            </m:r>
            <m:r>
              <m:rPr>
                <m:sty m:val="p"/>
              </m:rPr>
              <m:t>+</m:t>
            </m:r>
            <m:r>
              <m:t>2</m:t>
            </m:r>
            <m:r>
              <m:rPr>
                <m:sty m:val="p"/>
              </m:rPr>
              <m:t>⋅</m:t>
            </m:r>
            <m:r>
              <m:t>1250</m:t>
            </m:r>
          </m:den>
        </m:f>
        <m:d>
          <m:dPr>
            <m:begChr m:val="{"/>
            <m:sepChr m:val=""/>
            <m:endChr m:val="}"/>
            <m:grow/>
          </m:dPr>
          <m:e>
            <m:f>
              <m:fPr>
                <m:type m:val="bar"/>
              </m:fPr>
              <m:num>
                <m:r>
                  <m:t>2</m:t>
                </m:r>
                <m:r>
                  <m:rPr>
                    <m:sty m:val="p"/>
                  </m:rPr>
                  <m:t>⋅</m:t>
                </m:r>
                <m:r>
                  <m:t>1250</m:t>
                </m:r>
              </m:num>
              <m:den>
                <m:r>
                  <m:t>2500</m:t>
                </m:r>
                <m:r>
                  <m:rPr>
                    <m:sty m:val="p"/>
                  </m:rPr>
                  <m:t>+</m:t>
                </m:r>
                <m:r>
                  <m:t>2</m:t>
                </m:r>
                <m:r>
                  <m:rPr>
                    <m:sty m:val="p"/>
                  </m:rPr>
                  <m:t>⋅</m:t>
                </m:r>
                <m:r>
                  <m:t>1250</m:t>
                </m:r>
              </m:den>
            </m:f>
            <m:r>
              <m:rPr>
                <m:sty m:val="p"/>
              </m:rPr>
              <m:t>−</m:t>
            </m:r>
            <m:r>
              <m:t>1</m:t>
            </m:r>
          </m:e>
        </m:d>
        <m:r>
          <m:rPr>
            <m:sty m:val="p"/>
          </m:rPr>
          <m:t>=</m:t>
        </m:r>
        <m:r>
          <m:rPr>
            <m:sty m:val="p"/>
          </m:rPr>
          <m:t>−</m:t>
        </m:r>
        <m:r>
          <m:t>2</m:t>
        </m:r>
        <m:r>
          <m:rPr>
            <m:sty m:val="p"/>
          </m:rPr>
          <m:t>⋅</m:t>
        </m:r>
        <m:f>
          <m:fPr>
            <m:type m:val="bar"/>
          </m:fPr>
          <m:num>
            <m:r>
              <m:t>1</m:t>
            </m:r>
          </m:num>
          <m:den>
            <m:r>
              <m:t>10000</m:t>
            </m:r>
          </m:den>
        </m:f>
      </m:oMath>
      <w:r>
        <w:t xml:space="preserve"> </w:t>
      </w:r>
      <w:r>
        <w:t xml:space="preserve">for men and</w:t>
      </w:r>
      <w:r>
        <w:t xml:space="preserve"> </w:t>
      </w:r>
      <m:oMath>
        <m:sSub>
          <m:e>
            <m:r>
              <m:t>w</m:t>
            </m:r>
          </m:e>
          <m:sub>
            <m:r>
              <m:t>w</m:t>
            </m:r>
            <m:r>
              <m:t>o</m:t>
            </m:r>
            <m:r>
              <m:t>m</m:t>
            </m:r>
            <m:r>
              <m:t>e</m:t>
            </m:r>
            <m:r>
              <m:t>n</m:t>
            </m:r>
          </m:sub>
        </m:sSub>
        <m:r>
          <m:rPr>
            <m:sty m:val="p"/>
          </m:rPr>
          <m:t>=</m:t>
        </m:r>
        <m:f>
          <m:fPr>
            <m:type m:val="bar"/>
          </m:fPr>
          <m:num>
            <m:r>
              <m:t>1</m:t>
            </m:r>
          </m:num>
          <m:den>
            <m:r>
              <m:t>2500</m:t>
            </m:r>
            <m:r>
              <m:rPr>
                <m:sty m:val="p"/>
              </m:rPr>
              <m:t>+</m:t>
            </m:r>
            <m:r>
              <m:t>2</m:t>
            </m:r>
            <m:r>
              <m:rPr>
                <m:sty m:val="p"/>
              </m:rPr>
              <m:t>⋅</m:t>
            </m:r>
            <m:r>
              <m:t>1250</m:t>
            </m:r>
          </m:den>
        </m:f>
        <m:d>
          <m:dPr>
            <m:begChr m:val="{"/>
            <m:sepChr m:val=""/>
            <m:endChr m:val="}"/>
            <m:grow/>
          </m:dPr>
          <m:e>
            <m:f>
              <m:fPr>
                <m:type m:val="bar"/>
              </m:fPr>
              <m:num>
                <m:r>
                  <m:t>2</m:t>
                </m:r>
                <m:r>
                  <m:rPr>
                    <m:sty m:val="p"/>
                  </m:rPr>
                  <m:t>⋅</m:t>
                </m:r>
                <m:r>
                  <m:t>1250</m:t>
                </m:r>
              </m:num>
              <m:den>
                <m:r>
                  <m:t>2500</m:t>
                </m:r>
                <m:r>
                  <m:rPr>
                    <m:sty m:val="p"/>
                  </m:rPr>
                  <m:t>+</m:t>
                </m:r>
                <m:r>
                  <m:t>2</m:t>
                </m:r>
                <m:r>
                  <m:rPr>
                    <m:sty m:val="p"/>
                  </m:rPr>
                  <m:t>⋅</m:t>
                </m:r>
                <m:r>
                  <m:t>1250</m:t>
                </m:r>
              </m:den>
            </m:f>
            <m:r>
              <m:rPr>
                <m:sty m:val="p"/>
              </m:rPr>
              <m:t>−</m:t>
            </m:r>
            <m:r>
              <m:t>0</m:t>
            </m:r>
          </m:e>
        </m:d>
        <m:r>
          <m:rPr>
            <m:sty m:val="p"/>
          </m:rPr>
          <m:t>=</m:t>
        </m:r>
        <m:f>
          <m:fPr>
            <m:type m:val="bar"/>
          </m:fPr>
          <m:num>
            <m:r>
              <m:t>1</m:t>
            </m:r>
          </m:num>
          <m:den>
            <m:r>
              <m:t>10000</m:t>
            </m:r>
          </m:den>
        </m:f>
      </m:oMath>
      <w:r>
        <w:t xml:space="preserve"> </w:t>
      </w:r>
      <w:r>
        <w:t xml:space="preserve">for women. We see that the increment of the gradient is now twice as high for men.</w:t>
      </w:r>
    </w:p>
    <w:bookmarkEnd w:id="36"/>
    <w:bookmarkStart w:id="37" w:name="X70df6e8e29d4d4a5f55cc5ca8b1dd5e7b9d6f38"/>
    <w:p>
      <w:pPr>
        <w:pStyle w:val="Heading1"/>
      </w:pPr>
      <w:r>
        <w:t xml:space="preserve">11. Supplement 11: Logistic regression has higher variance than Cox regression</w:t>
      </w:r>
    </w:p>
    <w:p>
      <w:pPr>
        <w:pStyle w:val="FirstParagraph"/>
      </w:pPr>
      <w:r>
        <w:t xml:space="preserve">We can show that the variance of a logistic regression prediction is higher than that of a Cox regression prediction for the same patient in a simulation with no censoring. We simulate data on 10,000 patients with a time-to-event outcome based on a single continuous predictor</w:t>
      </w:r>
      <w:r>
        <w:t xml:space="preserve"> </w:t>
      </w:r>
      <m:oMath>
        <m:r>
          <m:t>X</m:t>
        </m:r>
        <m:r>
          <m:rPr>
            <m:sty m:val="p"/>
          </m:rPr>
          <m:t>∼</m:t>
        </m:r>
        <m:r>
          <m:t>N</m:t>
        </m:r>
        <m:d>
          <m:dPr>
            <m:begChr m:val="("/>
            <m:sepChr m:val=""/>
            <m:endChr m:val=")"/>
            <m:grow/>
          </m:dPr>
          <m:e>
            <m:r>
              <m:t>0</m:t>
            </m:r>
            <m:r>
              <m:rPr>
                <m:sty m:val="p"/>
              </m:rPr>
              <m:t>,</m:t>
            </m:r>
            <m:r>
              <m:t>1</m:t>
            </m:r>
          </m:e>
        </m:d>
      </m:oMath>
      <w:r>
        <w:t xml:space="preserve"> </w:t>
      </w:r>
      <w:r>
        <w:t xml:space="preserve">with a hazard ratio of 2 and an exponential baseline hazard with scale 10. We fit a Cox and make survival predictions at time</w:t>
      </w:r>
      <w:r>
        <w:t xml:space="preserve"> </w:t>
      </w:r>
      <m:oMath>
        <m:r>
          <m:t>t</m:t>
        </m:r>
      </m:oMath>
      <w:r>
        <w:t xml:space="preserve"> </w:t>
      </w:r>
      <w:r>
        <w:t xml:space="preserve">and fit a logistic regression model on the outcome at time</w:t>
      </w:r>
      <w:r>
        <w:t xml:space="preserve"> </w:t>
      </w:r>
      <m:oMath>
        <m:r>
          <m:t>t</m:t>
        </m:r>
      </m:oMath>
      <w:r>
        <w:t xml:space="preserve"> </w:t>
      </w:r>
      <w:r>
        <w:t xml:space="preserve">and predict at time</w:t>
      </w:r>
      <w:r>
        <w:t xml:space="preserve"> </w:t>
      </w:r>
      <m:oMath>
        <m:r>
          <m:t>t</m:t>
        </m:r>
      </m:oMath>
      <w:r>
        <w:t xml:space="preserve">. We make these predictions with the Cox at time</w:t>
      </w:r>
      <w:r>
        <w:t xml:space="preserve"> </w:t>
      </w:r>
      <m:oMath>
        <m:r>
          <m:t>t</m:t>
        </m:r>
        <m:r>
          <m:rPr>
            <m:sty m:val="p"/>
          </m:rPr>
          <m:t>=</m:t>
        </m:r>
        <m:r>
          <m:t>0.01</m:t>
        </m:r>
      </m:oMath>
      <w:r>
        <w:t xml:space="preserve"> </w:t>
      </w:r>
      <w:r>
        <w:t xml:space="preserve">and</w:t>
      </w:r>
      <w:r>
        <w:t xml:space="preserve"> </w:t>
      </w:r>
      <m:oMath>
        <m:r>
          <m:t>t</m:t>
        </m:r>
        <m:r>
          <m:rPr>
            <m:sty m:val="p"/>
          </m:rPr>
          <m:t>=</m:t>
        </m:r>
        <m:r>
          <m:t>2</m:t>
        </m:r>
      </m:oMath>
      <w:r>
        <w:t xml:space="preserve"> </w:t>
      </w:r>
      <w:r>
        <w:t xml:space="preserve">and fit logistic regression models on the observed outcomes at these times.</w:t>
      </w:r>
    </w:p>
    <w:p>
      <w:pPr>
        <w:pStyle w:val="BodyText"/>
      </w:pPr>
      <w:r>
        <w:t xml:space="preserve">The prediction at</w:t>
      </w:r>
      <w:r>
        <w:t xml:space="preserve"> </w:t>
      </w:r>
      <m:oMath>
        <m:r>
          <m:t>t</m:t>
        </m:r>
        <m:r>
          <m:rPr>
            <m:sty m:val="p"/>
          </m:rPr>
          <m:t>=</m:t>
        </m:r>
        <m:r>
          <m:t>0.01</m:t>
        </m:r>
      </m:oMath>
      <w:r>
        <w:t xml:space="preserve"> </w:t>
      </w:r>
      <w:r>
        <w:t xml:space="preserve">for both models is nearly identical (0.00003% difference), with any difference being explained by finite sample behaviour, rather than bias. The variance of the Cox model prediction is only 66% of the logistic regression model variance. This also results in a much larger effective sample size for the Cox model prediction compared to the LR: 12684 vs 8722. The width of the confidence interval from the Cox model is only 75.7% that of the logistic regression model. When comparing it to the Cox model fit on the data restricted to</w:t>
      </w:r>
      <w:r>
        <w:t xml:space="preserve"> </w:t>
      </w:r>
      <m:oMath>
        <m:r>
          <m:t>t</m:t>
        </m:r>
        <m:r>
          <m:rPr>
            <m:sty m:val="p"/>
          </m:rPr>
          <m:t>=</m:t>
        </m:r>
        <m:r>
          <m:t>0.01</m:t>
        </m:r>
      </m:oMath>
      <w:r>
        <w:t xml:space="preserve">, we see that the variance of the Cox model prediction is only over 99% of the logistic regression model variance, showing that most of the increased efficiency of the Cox model comes from the estimation of the coefficients based on data throughout the follow-up. Effective sample size is also the same for the restricted Cox model compared to logistic regression.</w:t>
      </w:r>
    </w:p>
    <w:p>
      <w:pPr>
        <w:pStyle w:val="BodyText"/>
      </w:pPr>
      <w:r>
        <w:t xml:space="preserve">At</w:t>
      </w:r>
      <w:r>
        <w:t xml:space="preserve"> </w:t>
      </w:r>
      <m:oMath>
        <m:r>
          <m:t>t</m:t>
        </m:r>
        <m:r>
          <m:rPr>
            <m:sty m:val="p"/>
          </m:rPr>
          <m:t>=</m:t>
        </m:r>
        <m:r>
          <m:t>2</m:t>
        </m:r>
      </m:oMath>
      <w:r>
        <w:t xml:space="preserve"> </w:t>
      </w:r>
      <w:r>
        <w:t xml:space="preserve">the predictions are again nearly identical (0.006% difference). The variance of the Cox model prediction is much lower, at 79% of the logistic regression variance. This is also reflected in the effective sample size, as the Cox model still has higher effective sample size at 10561 compared to 8489 for the LR model. The width of the confidence interval from the Cox model is only 88.7% that of the logistic regression model. When restricting the Cox model to data up to</w:t>
      </w:r>
      <w:r>
        <w:t xml:space="preserve"> </w:t>
      </w:r>
      <m:oMath>
        <m:r>
          <m:t>t</m:t>
        </m:r>
        <m:r>
          <m:rPr>
            <m:sty m:val="p"/>
          </m:rPr>
          <m:t>=</m:t>
        </m:r>
        <m:r>
          <m:t>2</m:t>
        </m:r>
      </m:oMath>
      <w:r>
        <w:t xml:space="preserve">, we see that the variance of the Cox model prediction is 97% of the logistic regression model variance. The effective sample size of the Cox model prediction has now similarly increased to 200 above the logistic regression model estimate. This indicates the increased efficiency over a logistic regression model due to knowing the survival times in addition to the status at time</w:t>
      </w:r>
      <w:r>
        <w:t xml:space="preserve"> </w:t>
      </w:r>
      <m:oMath>
        <m:r>
          <m:t>t</m:t>
        </m:r>
        <m:r>
          <m:rPr>
            <m:sty m:val="p"/>
          </m:rPr>
          <m:t>=</m:t>
        </m:r>
        <m:r>
          <m:t>2</m:t>
        </m:r>
      </m:oMath>
      <w:r>
        <w:t xml:space="preserve">.</w:t>
      </w:r>
    </w:p>
    <w:bookmarkEnd w:id="37"/>
    <w:bookmarkStart w:id="38" w:name="Xb42c73434b77ff07d12cbafb0a32bcf8b723c78"/>
    <w:p>
      <w:pPr>
        <w:pStyle w:val="Heading1"/>
      </w:pPr>
      <w:r>
        <w:t xml:space="preserve">12. Supplement 12: Average hazard ratio in the data is above 1</w:t>
      </w:r>
    </w:p>
    <w:p>
      <w:pPr>
        <w:pStyle w:val="FirstParagraph"/>
      </w:pPr>
      <w:r>
        <w:t xml:space="preserve">The explanations in section 4 are based on simulations where all hazard ratios are above 1, resulting in a risk-weighted number at risk that is higher than the development sample size. One could suggest changing the reference category and reduce the risk-weighted number at risk. If men were the reference category and women the alternative with a hazard ratio of</w:t>
      </w:r>
      <w:r>
        <w:t xml:space="preserve"> </w:t>
      </w:r>
      <m:oMath>
        <m:r>
          <m:t>0.5</m:t>
        </m:r>
      </m:oMath>
      <w:r>
        <w:t xml:space="preserve">, then the risk-weighted number at risk would be 7,500. The risk for men would be 1/7,500 and the risk for women</w:t>
      </w:r>
      <w:r>
        <w:t xml:space="preserve"> </w:t>
      </w:r>
      <m:oMath>
        <m:f>
          <m:fPr>
            <m:type m:val="bar"/>
          </m:fPr>
          <m:num>
            <m:r>
              <m:t>0.5</m:t>
            </m:r>
          </m:num>
          <m:den>
            <m:r>
              <m:t>7500</m:t>
            </m:r>
          </m:den>
        </m:f>
        <m:r>
          <m:rPr>
            <m:sty m:val="p"/>
          </m:rPr>
          <m:t>=</m:t>
        </m:r>
        <m:f>
          <m:fPr>
            <m:type m:val="bar"/>
          </m:fPr>
          <m:num>
            <m:r>
              <m:t>1</m:t>
            </m:r>
          </m:num>
          <m:den>
            <m:r>
              <m:t>15000</m:t>
            </m:r>
          </m:den>
        </m:f>
      </m:oMath>
      <w:r>
        <w:t xml:space="preserve">, providing the same heuristic effective sample size as before.</w:t>
      </w:r>
    </w:p>
    <w:p>
      <w:pPr>
        <w:pStyle w:val="BodyText"/>
      </w:pPr>
      <w:r>
        <w:t xml:space="preserve">After normalizing variables by centering and rescaling, the mean hazard ratio in the development data will be above 1. For a</w:t>
      </w:r>
      <w:r>
        <w:t xml:space="preserve"> </w:t>
      </w:r>
      <m:oMath>
        <m:r>
          <m:t>N</m:t>
        </m:r>
        <m:d>
          <m:dPr>
            <m:begChr m:val="("/>
            <m:sepChr m:val=""/>
            <m:endChr m:val=")"/>
            <m:grow/>
          </m:dPr>
          <m:e>
            <m:r>
              <m:t>0</m:t>
            </m:r>
            <m:r>
              <m:rPr>
                <m:sty m:val="p"/>
              </m:rPr>
              <m:t>,</m:t>
            </m:r>
            <m:r>
              <m:t>1</m:t>
            </m:r>
          </m:e>
        </m:d>
      </m:oMath>
      <w:r>
        <w:t xml:space="preserve"> </w:t>
      </w:r>
      <w:r>
        <w:t xml:space="preserve">variable with a HR of 2, the mean linear predictor in the data is 0, but the mean HR is not equal to 1, since</w:t>
      </w:r>
      <w:r>
        <w:t xml:space="preserve"> </w:t>
      </w:r>
      <m:oMath>
        <m:r>
          <m:rPr>
            <m:sty m:val="p"/>
            <m:scr m:val="double-struck"/>
          </m:rPr>
          <m:t>E</m:t>
        </m:r>
        <m:d>
          <m:dPr>
            <m:begChr m:val="["/>
            <m:sepChr m:val=""/>
            <m:endChr m:val="]"/>
            <m:grow/>
          </m:dPr>
          <m:e>
            <m:r>
              <m:rPr>
                <m:nor/>
                <m:sty m:val="p"/>
              </m:rPr>
              <m:t>exp</m:t>
            </m:r>
            <m:d>
              <m:dPr>
                <m:begChr m:val="("/>
                <m:sepChr m:val=""/>
                <m:endChr m:val=")"/>
                <m:grow/>
              </m:dPr>
              <m:e>
                <m:r>
                  <m:t>X</m:t>
                </m:r>
                <m:r>
                  <m:t>β</m:t>
                </m:r>
              </m:e>
            </m:d>
          </m:e>
        </m:d>
        <m:r>
          <m:rPr>
            <m:sty m:val="p"/>
          </m:rPr>
          <m:t>≠</m:t>
        </m:r>
        <m:r>
          <m:rPr>
            <m:nor/>
            <m:sty m:val="p"/>
          </m:rPr>
          <m:t>exp</m:t>
        </m:r>
        <m:d>
          <m:dPr>
            <m:begChr m:val="("/>
            <m:sepChr m:val=""/>
            <m:endChr m:val=")"/>
            <m:grow/>
          </m:dPr>
          <m:e>
            <m:r>
              <m:rPr>
                <m:sty m:val="p"/>
                <m:scr m:val="double-struck"/>
              </m:rPr>
              <m:t>E</m:t>
            </m:r>
            <m:d>
              <m:dPr>
                <m:begChr m:val="["/>
                <m:sepChr m:val=""/>
                <m:endChr m:val="]"/>
                <m:grow/>
              </m:dPr>
              <m:e>
                <m:r>
                  <m:t>X</m:t>
                </m:r>
                <m:r>
                  <m:t>β</m:t>
                </m:r>
              </m:e>
            </m:d>
          </m:e>
        </m:d>
        <m:r>
          <m:rPr>
            <m:sty m:val="p"/>
          </m:rPr>
          <m:t>)</m:t>
        </m:r>
      </m:oMath>
      <w:r>
        <w:t xml:space="preserve">. As an example, for</w:t>
      </w:r>
      <w:r>
        <w:t xml:space="preserve"> </w:t>
      </w:r>
      <m:oMath>
        <m:r>
          <m:t>X</m:t>
        </m:r>
        <m:r>
          <m:rPr>
            <m:sty m:val="p"/>
          </m:rPr>
          <m:t>∼</m:t>
        </m:r>
        <m:r>
          <m:t>N</m:t>
        </m:r>
        <m:d>
          <m:dPr>
            <m:begChr m:val="("/>
            <m:sepChr m:val=""/>
            <m:endChr m:val=")"/>
            <m:grow/>
          </m:dPr>
          <m:e>
            <m:r>
              <m:t>0</m:t>
            </m:r>
            <m:r>
              <m:rPr>
                <m:sty m:val="p"/>
              </m:rPr>
              <m:t>,</m:t>
            </m:r>
            <m:r>
              <m:t>1</m:t>
            </m:r>
          </m:e>
        </m:d>
      </m:oMath>
      <w:r>
        <w:t xml:space="preserve"> </w:t>
      </w:r>
      <w:r>
        <w:t xml:space="preserve">and a HR of 2,</w:t>
      </w:r>
      <w:r>
        <w:t xml:space="preserve"> </w:t>
      </w:r>
      <m:oMath>
        <m:r>
          <m:rPr>
            <m:sty m:val="p"/>
            <m:scr m:val="double-struck"/>
          </m:rPr>
          <m:t>E</m:t>
        </m:r>
        <m:d>
          <m:dPr>
            <m:begChr m:val="["/>
            <m:sepChr m:val=""/>
            <m:endChr m:val="]"/>
            <m:grow/>
          </m:dPr>
          <m:e>
            <m:r>
              <m:rPr>
                <m:nor/>
                <m:sty m:val="p"/>
              </m:rPr>
              <m:t>exp</m:t>
            </m:r>
            <m:d>
              <m:dPr>
                <m:begChr m:val="("/>
                <m:sepChr m:val=""/>
                <m:endChr m:val=")"/>
                <m:grow/>
              </m:dPr>
              <m:e>
                <m:r>
                  <m:t>X</m:t>
                </m:r>
                <m:r>
                  <m:t> </m:t>
                </m:r>
                <m:r>
                  <m:rPr>
                    <m:nor/>
                    <m:sty m:val="p"/>
                  </m:rPr>
                  <m:t>ln</m:t>
                </m:r>
                <m:r>
                  <m:t>2</m:t>
                </m:r>
              </m:e>
            </m:d>
          </m:e>
        </m:d>
        <m:r>
          <m:rPr>
            <m:sty m:val="p"/>
          </m:rPr>
          <m:t>=</m:t>
        </m:r>
        <m:r>
          <m:rPr>
            <m:nor/>
            <m:sty m:val="p"/>
          </m:rPr>
          <m:t>exp</m:t>
        </m:r>
        <m:d>
          <m:dPr>
            <m:begChr m:val="("/>
            <m:sepChr m:val=""/>
            <m:endChr m:val=")"/>
            <m:grow/>
          </m:dPr>
          <m:e>
            <m:f>
              <m:fPr>
                <m:type m:val="bar"/>
              </m:fPr>
              <m:num>
                <m:r>
                  <m:rPr>
                    <m:nor/>
                    <m:sty m:val="p"/>
                  </m:rPr>
                  <m:t>ln</m:t>
                </m:r>
                <m:sSup>
                  <m:e>
                    <m:r>
                      <m:t>2</m:t>
                    </m:r>
                  </m:e>
                  <m:sup>
                    <m:r>
                      <m:t>2</m:t>
                    </m:r>
                  </m:sup>
                </m:sSup>
              </m:num>
              <m:den>
                <m:r>
                  <m:t>2</m:t>
                </m:r>
              </m:den>
            </m:f>
          </m:e>
        </m:d>
        <m:r>
          <m:rPr>
            <m:sty m:val="p"/>
          </m:rPr>
          <m:t>≈</m:t>
        </m:r>
        <m:r>
          <m:t>1.2715</m:t>
        </m:r>
      </m:oMath>
      <w:r>
        <w:t xml:space="preserve">. This transformation increases the risk-weighted number at risk to naturally be larger than the development population, which contributes to the larger effective sample sizes of Cox model predictions for patients with the population mean risk.</w:t>
      </w:r>
    </w:p>
    <w:p>
      <w:pPr>
        <w:pStyle w:val="BodyText"/>
      </w:pPr>
      <w:r>
        <w:t xml:space="preserve">We can investigate this in practice:</w:t>
      </w:r>
    </w:p>
    <w:p>
      <w:pPr>
        <w:pStyle w:val="SourceCode"/>
      </w:pPr>
      <w:r>
        <w:rPr>
          <w:rStyle w:val="VerbatimChar"/>
        </w:rPr>
        <w:t xml:space="preserve">[1] -0.0007861614</w:t>
      </w:r>
    </w:p>
    <w:p>
      <w:pPr>
        <w:pStyle w:val="SourceCode"/>
      </w:pPr>
      <w:r>
        <w:rPr>
          <w:rStyle w:val="VerbatimChar"/>
        </w:rPr>
        <w:t xml:space="preserve">[1] 1.270255</w:t>
      </w:r>
    </w:p>
    <w:p>
      <w:pPr>
        <w:pStyle w:val="FirstParagraph"/>
      </w:pPr>
      <w:r>
        <w:t xml:space="preserve">So we observe that the mean linear predictor (X</w:t>
      </w:r>
      <w:r>
        <w:t xml:space="preserve">) is 0 (ignoring some monte-carlo standard error), while the mean hazard ratio is 1.27.</w:t>
      </w:r>
    </w:p>
    <w:p>
      <w:pPr>
        <w:pStyle w:val="SourceCode"/>
      </w:pPr>
      <w:r>
        <w:rPr>
          <w:rStyle w:val="VerbatimChar"/>
        </w:rPr>
        <w:t xml:space="preserve">[1] 2.953193e-20</w:t>
      </w:r>
    </w:p>
    <w:p>
      <w:pPr>
        <w:pStyle w:val="SourceCode"/>
      </w:pPr>
      <w:r>
        <w:rPr>
          <w:rStyle w:val="VerbatimChar"/>
        </w:rPr>
        <w:t xml:space="preserve">[1] 1.25</w:t>
      </w:r>
    </w:p>
    <w:p>
      <w:pPr>
        <w:pStyle w:val="FirstParagraph"/>
      </w:pPr>
      <w:r>
        <w:t xml:space="preserve">Similarly, we can consider a case where we have one categorical covariate with two categories. This is usually presented as a 0-1 scenario with a beta that only counts for the 1 category. This can be represented by a +1/-1 scenario with a beta that is half as high as well. In this situation, the mean linear predictor in the population is again 0, but the mean hazard ratio is again above 1.</w:t>
      </w:r>
    </w:p>
    <w:p>
      <w:pPr>
        <w:pStyle w:val="BodyText"/>
      </w:pPr>
      <w:r>
        <w:t xml:space="preserve">A more complicated example can be illustrated in the colon data, if we rescale all variables first.</w:t>
      </w:r>
    </w:p>
    <w:p>
      <w:pPr>
        <w:pStyle w:val="SourceCode"/>
      </w:pPr>
      <w:r>
        <w:rPr>
          <w:rStyle w:val="VerbatimChar"/>
        </w:rPr>
        <w:t xml:space="preserve">[1] -1.512609e-16</w:t>
      </w:r>
    </w:p>
    <w:p>
      <w:pPr>
        <w:pStyle w:val="SourceCode"/>
      </w:pPr>
      <w:r>
        <w:rPr>
          <w:rStyle w:val="VerbatimChar"/>
        </w:rPr>
        <w:t xml:space="preserve">[1] 1.104616</w:t>
      </w:r>
    </w:p>
    <w:p>
      <w:pPr>
        <w:pStyle w:val="FirstParagraph"/>
      </w:pPr>
      <w:r>
        <w:t xml:space="preserve">Again in such an example we see that the mean linear predictor in the Cox model based on age, nodes, adhere and treatment is 0 (with some small finite-sample error), while the mean hazard ratio in the population is 1.10. For a patient with the mean covariate values, this would already imply that their effective sample size would be above the total sample size of 911 patients. And indeed, the effective sample size for a patient with a 0 for all covariate values is 1008 at the first event time, which is close to the expected 911*1.1046 = 1006. The small difference can be explained by differences in population means due to the 18 patients with missing values in any of the variables.</w:t>
      </w:r>
    </w:p>
    <w:bookmarkEnd w:id="38"/>
    <w:bookmarkStart w:id="48" w:name="Xb2999595421c5c36a569346553019d1edee8804"/>
    <w:p>
      <w:pPr>
        <w:pStyle w:val="Heading1"/>
      </w:pPr>
      <w:r>
        <w:t xml:space="preserve">13. Supplement 13: Cox model predictions confidence intervals have good coverage</w:t>
      </w:r>
    </w:p>
    <w:p>
      <w:pPr>
        <w:pStyle w:val="FirstParagraph"/>
      </w:pPr>
      <w:r>
        <w:t xml:space="preserve">We suggest a Cox model based on two variables, one binary and one continuous and investigate the coverage for a few patients with different covariate values. Our variables are</w:t>
      </w:r>
      <w:r>
        <w:t xml:space="preserve"> </w:t>
      </w:r>
      <m:oMath>
        <m:sSub>
          <m:e>
            <m:r>
              <m:t>X</m:t>
            </m:r>
          </m:e>
          <m:sub>
            <m:r>
              <m:t>1</m:t>
            </m:r>
          </m:sub>
        </m:sSub>
      </m:oMath>
      <w:r>
        <w:t xml:space="preserve"> </w:t>
      </w:r>
      <w:r>
        <w:t xml:space="preserve">binary assigned with a Bernoulli(</w:t>
      </w:r>
      <m:oMath>
        <m:r>
          <m:t>0.5</m:t>
        </m:r>
      </m:oMath>
      <w:r>
        <w:t xml:space="preserve">) distribution and</w:t>
      </w:r>
      <w:r>
        <w:t xml:space="preserve"> </w:t>
      </w:r>
      <m:oMath>
        <m:sSub>
          <m:e>
            <m:r>
              <m:t>X</m:t>
            </m:r>
          </m:e>
          <m:sub>
            <m:r>
              <m:t>2</m:t>
            </m:r>
          </m:sub>
        </m:sSub>
      </m:oMath>
      <w:r>
        <w:t xml:space="preserve"> </w:t>
      </w:r>
      <w:r>
        <w:t xml:space="preserve">continuous assigned with a</w:t>
      </w:r>
      <w:r>
        <w:t xml:space="preserve"> </w:t>
      </w:r>
      <m:oMath>
        <m:r>
          <m:t>N</m:t>
        </m:r>
        <m:d>
          <m:dPr>
            <m:begChr m:val="("/>
            <m:sepChr m:val=""/>
            <m:endChr m:val=")"/>
            <m:grow/>
          </m:dPr>
          <m:e>
            <m:r>
              <m:t>0</m:t>
            </m:r>
            <m:r>
              <m:rPr>
                <m:sty m:val="p"/>
              </m:rPr>
              <m:t>,</m:t>
            </m:r>
            <m:r>
              <m:t>1</m:t>
            </m:r>
          </m:e>
        </m:d>
      </m:oMath>
      <w:r>
        <w:t xml:space="preserve"> </w:t>
      </w:r>
      <w:r>
        <w:t xml:space="preserve">distribution. We assume a HR of 2 for both variables and a constant baseline hazard of 1. Each iteration is with</w:t>
      </w:r>
      <w:r>
        <w:t xml:space="preserve"> </w:t>
      </w:r>
      <m:oMath>
        <m:r>
          <m:t>N</m:t>
        </m:r>
        <m:r>
          <m:rPr>
            <m:sty m:val="p"/>
          </m:rPr>
          <m:t>=</m:t>
        </m:r>
        <m:r>
          <m:t>1000</m:t>
        </m:r>
      </m:oMath>
      <w:r>
        <w:t xml:space="preserve">. To estimate the coverage, we use</w:t>
      </w:r>
      <w:r>
        <w:t xml:space="preserve"> </w:t>
      </w:r>
      <m:oMath>
        <m:r>
          <m:t>1999</m:t>
        </m:r>
      </m:oMath>
      <w:r>
        <w:t xml:space="preserve"> </w:t>
      </w:r>
      <w:r>
        <w:t xml:space="preserve">replications.</w:t>
      </w:r>
    </w:p>
    <w:p>
      <w:pPr>
        <w:pStyle w:val="BodyText"/>
      </w:pPr>
      <w:r>
        <w:t xml:space="preserve">We see that coverage is good at 95% across all time points just after the start, even though effective sample size is higher than the development sample size throughout. Only at the very beginning is there under coverage, but this is because the first event has not taken place in all of the simulation runs and before the first event there is always under coverage.</w:t>
      </w:r>
    </w:p>
    <w:p>
      <w:pPr>
        <w:pStyle w:val="BodyText"/>
      </w:pPr>
      <w:r>
        <w:drawing>
          <wp:inline>
            <wp:extent cx="4620126" cy="3696101"/>
            <wp:effectExtent b="0" l="0" r="0" t="0"/>
            <wp:docPr descr="" title="" id="40" name="Picture"/>
            <a:graphic>
              <a:graphicData uri="http://schemas.openxmlformats.org/drawingml/2006/picture">
                <pic:pic>
                  <pic:nvPicPr>
                    <pic:cNvPr descr="supplement_files/figure-docx/unnamed-chunk-6-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43" name="Picture"/>
            <a:graphic>
              <a:graphicData uri="http://schemas.openxmlformats.org/drawingml/2006/picture">
                <pic:pic>
                  <pic:nvPicPr>
                    <pic:cNvPr descr="supplement_files/figure-docx/unnamed-chunk-6-2.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46" name="Picture"/>
            <a:graphic>
              <a:graphicData uri="http://schemas.openxmlformats.org/drawingml/2006/picture">
                <pic:pic>
                  <pic:nvPicPr>
                    <pic:cNvPr descr="supplement_files/figure-docx/unnamed-chunk-6-3.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bookmarkEnd w:id="48"/>
    <w:bookmarkStart w:id="55" w:name="X3e1673495ab65a6e4b5696ef7652ece2a916924"/>
    <w:p>
      <w:pPr>
        <w:pStyle w:val="Heading1"/>
      </w:pPr>
      <w:r>
        <w:t xml:space="preserve">14. Supplement 14: Model-based standard errors are equal to Monte Carlo standard errors</w:t>
      </w:r>
    </w:p>
    <w:p>
      <w:pPr>
        <w:pStyle w:val="FirstParagraph"/>
      </w:pPr>
      <w:r>
        <w:t xml:space="preserve">Additionally, we check the model-based standard errors against the empirical standard errors for the same simulation as in the previous section (Supplement 11). We find that they are extremely close, which indicates that the model-based standard errors are accurate and that the effective sample size calculations based on these standard errors are also accurate. There are indications of a slight overestimation of the standard error early on in follow-up, which could be responsible for any slight overcoverage early on in follow-up.</w:t>
      </w:r>
    </w:p>
    <w:p>
      <w:pPr>
        <w:pStyle w:val="BodyText"/>
      </w:pPr>
      <w:r>
        <w:drawing>
          <wp:inline>
            <wp:extent cx="4620126" cy="3696101"/>
            <wp:effectExtent b="0" l="0" r="0" t="0"/>
            <wp:docPr descr="" title="" id="50" name="Picture"/>
            <a:graphic>
              <a:graphicData uri="http://schemas.openxmlformats.org/drawingml/2006/picture">
                <pic:pic>
                  <pic:nvPicPr>
                    <pic:cNvPr descr="supplement_files/figure-docx/unnamed-chunk-7-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53" name="Picture"/>
            <a:graphic>
              <a:graphicData uri="http://schemas.openxmlformats.org/drawingml/2006/picture">
                <pic:pic>
                  <pic:nvPicPr>
                    <pic:cNvPr descr="supplement_files/figure-docx/unnamed-chunk-7-2.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
  <cp:keywords/>
  <dcterms:created xsi:type="dcterms:W3CDTF">2026-05-18T13:02:11Z</dcterms:created>
  <dcterms:modified xsi:type="dcterms:W3CDTF">2026-05-18T13:02:11Z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