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mbria" w:cs="Cambria" w:eastAsia="Cambria" w:hAnsi="Cambria"/>
          <w:b/>
          <w:bCs/>
          <w:color w:val="163A5A"/>
          <w:spacing w:val="60"/>
          <w:sz w:val="36"/>
          <w:szCs w:val="36"/>
        </w:rPr>
        <w:t xml:space="preserve">AURA</w:t>
      </w:r>
    </w:p>
    <w:p>
      <w:pPr>
        <w:spacing w:after="120"/>
        <w:jc w:val="center"/>
      </w:pPr>
      <w:r>
        <w:rPr>
          <w:color w:val="1A7F7A"/>
          <w:sz w:val="24"/>
          <w:szCs w:val="24"/>
        </w:rPr>
        <w:t xml:space="preserve">Evidence Intake · Validation · Decision Traceability</w:t>
      </w:r>
    </w:p>
    <w:p>
      <w:pPr>
        <w:spacing w:after="500"/>
        <w:jc w:val="center"/>
      </w:pPr>
      <w:r>
        <w:rPr>
          <w:color w:val="5B6B7C"/>
          <w:sz w:val="20"/>
          <w:szCs w:val="20"/>
        </w:rPr>
        <w:t xml:space="preserve">Requirements &amp; Architecture Series · MRS · PRS · HLD</w:t>
      </w:r>
    </w:p>
    <w:p>
      <w:pPr>
        <w:pBdr>
          <w:top w:val="single" w:color="163A5A" w:sz="12" w:space="6"/>
          <w:bottom w:val="single" w:color="163A5A" w:sz="12" w:space="6"/>
        </w:pBdr>
        <w:spacing w:after="300"/>
        <w:jc w:val="center"/>
      </w:pPr>
      <w:r>
        <w:rPr>
          <w:rFonts w:ascii="Cambria" w:cs="Cambria" w:eastAsia="Cambria" w:hAnsi="Cambria"/>
          <w:b/>
          <w:bCs/>
          <w:color w:val="163A5A"/>
          <w:sz w:val="44"/>
          <w:szCs w:val="44"/>
        </w:rPr>
        <w:t xml:space="preserve">AURA MARKET REQUIREMENTS SPECIFICATION</w:t>
      </w:r>
    </w:p>
    <w:p>
      <w:pPr>
        <w:spacing w:after="600"/>
        <w:jc w:val="center"/>
      </w:pPr>
      <w:r>
        <w:rPr>
          <w:i/>
          <w:iCs/>
          <w:color w:val="5B6B7C"/>
          <w:sz w:val="22"/>
          <w:szCs w:val="22"/>
        </w:rPr>
        <w:t xml:space="preserve">Business &amp; Market Requirements — Discovery Baseline</w:t>
      </w:r>
    </w:p>
    <w:tbl>
      <w:tblPr>
        <w:tblW w:type="dxa" w:w="5783"/>
        <w:jc w:val="center"/>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DISCOVERY BASELINE — FOR REVIEW</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2026-10-13</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Classification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 (organisation </w:t>
            </w:r>
            <w:r>
              <w:rPr>
                <w:b/>
                <w:bCs/>
                <w:color w:val="B7791F"/>
                <w:sz w:val="18"/>
                <w:szCs w:val="18"/>
              </w:rPr>
              <w:t xml:space="preserve">TBD</w:t>
            </w:r>
            <w:r>
              <w:rPr>
                <w:b w:val="false"/>
                <w:bCs w:val="false"/>
                <w:color w:val="222222"/>
                <w:sz w:val="18"/>
                <w:szCs w:val="18"/>
              </w:rPr>
              <w:t xml:space="preserve">)</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(BRS)</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Companion Docs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AURA-PRS-1.0 (PRS) · AURA-HLD-1.0 (HLD)</w:t>
            </w:r>
          </w:p>
        </w:tc>
      </w:tr>
    </w:tbl>
    <w:p>
      <w:pPr>
        <w:spacing w:before="700"/>
        <w:jc w:val="center"/>
      </w:pPr>
      <w:r>
        <w:rPr>
          <w:b/>
          <w:bCs/>
          <w:color w:val="A61B1B"/>
          <w:sz w:val="18"/>
          <w:szCs w:val="18"/>
        </w:rPr>
        <w:t xml:space="preserve">Discovery baseline. Contains hypotheses, not validated market claims or compliance claims (MRS §10). Classification and distribution: </w:t>
      </w:r>
      <w:r>
        <w:rPr>
          <w:b/>
          <w:bCs/>
          <w:color w:val="B7791F"/>
          <w:sz w:val="18"/>
          <w:szCs w:val="18"/>
        </w:rPr>
        <w:t xml:space="preserve">TBD</w:t>
      </w:r>
      <w:r>
        <w:rPr>
          <w:b/>
          <w:bCs/>
          <w:color w:val="A61B1B"/>
          <w:sz w:val="18"/>
          <w:szCs w:val="18"/>
        </w:rPr>
        <w:t xml:space="preserve">.</w:t>
      </w:r>
    </w:p>
    <w:p>
      <w:r>
        <w:br w:type="page"/>
      </w:r>
    </w:p>
    <w:p>
      <w:pPr>
        <w:pBdr>
          <w:bottom w:val="single" w:color="1A7F7A" w:sz="6" w:space="2"/>
        </w:pBdr>
        <w:spacing w:after="120" w:before="240"/>
      </w:pPr>
      <w:r>
        <w:rPr>
          <w:rFonts w:ascii="Cambria" w:cs="Cambria" w:eastAsia="Cambria" w:hAnsi="Cambria"/>
          <w:b/>
          <w:bCs/>
          <w:color w:val="163A5A"/>
          <w:sz w:val="26"/>
          <w:szCs w:val="26"/>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Title</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Market Requirements Specification — Aura</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Discovery baseline for review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Product</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 — instrument-backed lending evidence workflow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 Business Requirements Specification (BRS) content, clause 9.3</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Source basis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Aura_MRS.md (Discovery Baseline). Cross-references to Aura_PRS.md and Aura_HLD.md for traceability only.</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Owner</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Series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 · AURA-PRS · AURA-HLD</w:t>
            </w:r>
          </w:p>
        </w:tc>
      </w:tr>
    </w:tbl>
    <w:p/>
    <w:p>
      <w:pPr>
        <w:pBdr>
          <w:bottom w:val="single" w:color="1A7F7A" w:sz="6" w:space="2"/>
        </w:pBdr>
        <w:spacing w:after="120" w:before="240"/>
      </w:pPr>
      <w:r>
        <w:rPr>
          <w:rFonts w:ascii="Cambria" w:cs="Cambria" w:eastAsia="Cambria" w:hAnsi="Cambria"/>
          <w:b/>
          <w:bCs/>
          <w:color w:val="163A5A"/>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686"/>
        <w:gridCol w:w="1927"/>
        <w:gridCol w:w="4821"/>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Version</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Author</w:t>
            </w:r>
          </w:p>
        </w:tc>
        <w:tc>
          <w:tcPr>
            <w:tcW w:type="dxa" w:w="482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Description</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1.0</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w:t>
            </w:r>
          </w:p>
        </w:tc>
        <w:tc>
          <w:tcPr>
            <w:tcW w:type="dxa" w:w="482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IEEE-aligned baseline generated from Aura_MRS.md (Discovery Baseline). No content added beyond the source; gaps marked </w:t>
            </w:r>
            <w:r>
              <w:rPr>
                <w:b/>
                <w:bCs/>
                <w:color w:val="B7791F"/>
                <w:sz w:val="18"/>
                <w:szCs w:val="18"/>
              </w:rPr>
              <w:t xml:space="preserve">TBD</w:t>
            </w:r>
            <w:r>
              <w:rPr>
                <w:b w:val="false"/>
                <w:bCs w:val="false"/>
                <w:color w:val="222222"/>
                <w:sz w:val="18"/>
                <w:szCs w:val="18"/>
              </w:rPr>
              <w:t xml:space="preserve">.</w:t>
            </w: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3"/>
        <w:gridCol w:w="2322"/>
        <w:gridCol w:w="2322"/>
        <w:gridCol w:w="1511"/>
      </w:tblGrid>
      <w:tr>
        <w:trPr>
          <w:cantSplit/>
          <w:tblHeader/>
        </w:trPr>
        <w:tc>
          <w:tcPr>
            <w:tcW w:type="dxa" w:w="348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Name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Signature</w:t>
            </w:r>
          </w:p>
        </w:tc>
        <w:tc>
          <w:tcPr>
            <w:tcW w:type="dxa" w:w="151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 — Senior Software Architect</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Reviewed by — Product Management</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Reviewed by — Risk / Compliance</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Approved by — Product Owner</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Evidence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Marker</w:t>
            </w:r>
          </w:p>
        </w:tc>
        <w:tc>
          <w:tcPr>
            <w:tcW w:type="dxa" w:w="79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Meaning</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MRS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Aura_MRS.md — Aura Market Requirements Specification (Discovery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PRS §n</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Aura_PRS.md — Aura Product Requirements Specification (Initial Baseline).</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HLD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Aura_HLD.md — Aura High-Level Design (Initial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Stated</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Content taken directly from the source baseline; wording preserved where practical.</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Derived</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Structural derivation by the architect (identifier assignment, grouping, trace links) from stated content. No new requirement is introduced; derived links require stakeholder confirmation.</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Hypothesis</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Statement the source explicitly labels as a hypothesis to be validated; not a commitment or claim.</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 / </w:t>
            </w:r>
            <w:r>
              <w:rPr>
                <w:b/>
                <w:bCs/>
                <w:color w:val="B7791F"/>
                <w:sz w:val="18"/>
                <w:szCs w:val="18"/>
              </w:rPr>
              <w:t xml:space="preserve">TBC</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To be determined / to be confirmed. The source baseline does not provide this information; no value is asserted.</w:t>
            </w:r>
          </w:p>
        </w:tc>
      </w:tr>
    </w:tbl>
    <w:p>
      <w:pPr>
        <w:spacing w:after="120"/>
      </w:pPr>
    </w:p>
    <w:p>
      <w:r>
        <w:br w:type="page"/>
      </w:r>
    </w:p>
    <w:p>
      <w:pPr>
        <w:pBdr>
          <w:bottom w:val="single" w:color="1A7F7A" w:sz="6" w:space="2"/>
        </w:pBdr>
        <w:spacing w:after="120" w:before="240"/>
      </w:pPr>
      <w:r>
        <w:rPr>
          <w:rFonts w:ascii="Cambria" w:cs="Cambria" w:eastAsia="Cambria" w:hAnsi="Cambria"/>
          <w:b/>
          <w:bCs/>
          <w:color w:val="163A5A"/>
          <w:sz w:val="26"/>
          <w:szCs w:val="26"/>
        </w:rPr>
        <w:t xml:space="preserve">Table of Contents</w:t>
      </w:r>
    </w:p>
    <w:sdt>
      <w:sdtPr>
        <w:alias w:val="Table of Contents"/>
      </w:sdtPr>
      <w:sdtContent>
        <w:p>
          <w:pPr>
            <w:pStyle w:val="TOC1"/>
          </w:pPr>
          <w:r>
            <w:fldChar w:fldCharType="begin" w:dirty="true"/>
          </w:r>
          <w:r>
            <w:instrText xml:space="preserve">TOC \h \o "1-3" \z</w:instrText>
          </w:r>
          <w:r>
            <w:fldChar w:fldCharType="separate"/>
          </w:r>
          <w:r>
            <w:t xml:space="preserve">1 Introduction</w:t>
          </w:r>
          <w:r>
            <w:tab/>
          </w:r>
          <w:r>
            <w:t>6</w:t>
          </w:r>
        </w:p>
        <w:p>
          <w:pPr>
            <w:pStyle w:val="TOC2"/>
          </w:pPr>
          <w:r>
            <w:t xml:space="preserve">1.1 Purpose</w:t>
          </w:r>
          <w:r>
            <w:tab/>
          </w:r>
          <w:r>
            <w:t>6</w:t>
          </w:r>
        </w:p>
        <w:p>
          <w:pPr>
            <w:pStyle w:val="TOC2"/>
          </w:pPr>
          <w:r>
            <w:t xml:space="preserve">1.2 Scope</w:t>
          </w:r>
          <w:r>
            <w:tab/>
          </w:r>
          <w:r>
            <w:t>6</w:t>
          </w:r>
        </w:p>
        <w:p>
          <w:pPr>
            <w:pStyle w:val="TOC2"/>
          </w:pPr>
          <w:r>
            <w:t xml:space="preserve">1.3 Definitions, Acronyms and Abbreviations</w:t>
          </w:r>
          <w:r>
            <w:tab/>
          </w:r>
          <w:r>
            <w:t>6</w:t>
          </w:r>
        </w:p>
        <w:p>
          <w:pPr>
            <w:pStyle w:val="TOC2"/>
          </w:pPr>
          <w:r>
            <w:t xml:space="preserve">1.4 References</w:t>
          </w:r>
          <w:r>
            <w:tab/>
          </w:r>
          <w:r>
            <w:t>7</w:t>
          </w:r>
        </w:p>
        <w:p>
          <w:pPr>
            <w:pStyle w:val="TOC2"/>
          </w:pPr>
          <w:r>
            <w:t xml:space="preserve">1.5 Document Overview</w:t>
          </w:r>
          <w:r>
            <w:tab/>
          </w:r>
          <w:r>
            <w:t>7</w:t>
          </w:r>
        </w:p>
        <w:p>
          <w:pPr>
            <w:pStyle w:val="TOC1"/>
          </w:pPr>
          <w:r>
            <w:t xml:space="preserve">2 Business Context</w:t>
          </w:r>
          <w:r>
            <w:tab/>
          </w:r>
          <w:r>
            <w:t>8</w:t>
          </w:r>
        </w:p>
        <w:p>
          <w:pPr>
            <w:pStyle w:val="TOC2"/>
          </w:pPr>
          <w:r>
            <w:t xml:space="preserve">2.1 Business Purpose</w:t>
          </w:r>
          <w:r>
            <w:tab/>
          </w:r>
          <w:r>
            <w:t>8</w:t>
          </w:r>
        </w:p>
        <w:p>
          <w:pPr>
            <w:pStyle w:val="TOC2"/>
          </w:pPr>
          <w:r>
            <w:t xml:space="preserve">2.2 Problem Statement (Hypothesis)</w:t>
          </w:r>
          <w:r>
            <w:tab/>
          </w:r>
          <w:r>
            <w:t>8</w:t>
          </w:r>
        </w:p>
        <w:p>
          <w:pPr>
            <w:pStyle w:val="TOC2"/>
          </w:pPr>
          <w:r>
            <w:t xml:space="preserve">2.3 Market Context</w:t>
          </w:r>
          <w:r>
            <w:tab/>
          </w:r>
          <w:r>
            <w:t>8</w:t>
          </w:r>
        </w:p>
        <w:p>
          <w:pPr>
            <w:pStyle w:val="TOC1"/>
          </w:pPr>
          <w:r>
            <w:t xml:space="preserve">3 Market Analysis</w:t>
          </w:r>
          <w:r>
            <w:tab/>
          </w:r>
          <w:r>
            <w:t>10</w:t>
          </w:r>
        </w:p>
        <w:p>
          <w:pPr>
            <w:pStyle w:val="TOC2"/>
          </w:pPr>
          <w:r>
            <w:t xml:space="preserve">3.1 Target Segments</w:t>
          </w:r>
          <w:r>
            <w:tab/>
          </w:r>
          <w:r>
            <w:t>10</w:t>
          </w:r>
        </w:p>
        <w:p>
          <w:pPr>
            <w:pStyle w:val="TOC2"/>
          </w:pPr>
          <w:r>
            <w:t xml:space="preserve">3.2 Competitive Intelligence</w:t>
          </w:r>
          <w:r>
            <w:tab/>
          </w:r>
          <w:r>
            <w:t>10</w:t>
          </w:r>
        </w:p>
        <w:p>
          <w:pPr>
            <w:pStyle w:val="TOC2"/>
          </w:pPr>
          <w:r>
            <w:t xml:space="preserve">3.3 Market Sizing and Pricing</w:t>
          </w:r>
          <w:r>
            <w:tab/>
          </w:r>
          <w:r>
            <w:t>10</w:t>
          </w:r>
        </w:p>
        <w:p>
          <w:pPr>
            <w:pStyle w:val="TOC1"/>
          </w:pPr>
          <w:r>
            <w:t xml:space="preserve">4 Stakeholders</w:t>
          </w:r>
          <w:r>
            <w:tab/>
          </w:r>
          <w:r>
            <w:t>11</w:t>
          </w:r>
        </w:p>
        <w:p>
          <w:pPr>
            <w:pStyle w:val="TOC2"/>
          </w:pPr>
          <w:r>
            <w:t xml:space="preserve">4.1 Stakeholder Register</w:t>
          </w:r>
          <w:r>
            <w:tab/>
          </w:r>
          <w:r>
            <w:t>11</w:t>
          </w:r>
        </w:p>
        <w:p>
          <w:pPr>
            <w:pStyle w:val="TOC2"/>
          </w:pPr>
          <w:r>
            <w:t xml:space="preserve">4.2 Mapping to Product Roles</w:t>
          </w:r>
          <w:r>
            <w:tab/>
          </w:r>
          <w:r>
            <w:t>11</w:t>
          </w:r>
        </w:p>
        <w:p>
          <w:pPr>
            <w:pStyle w:val="TOC1"/>
          </w:pPr>
          <w:r>
            <w:t xml:space="preserve">5 Market Requirements</w:t>
          </w:r>
          <w:r>
            <w:tab/>
          </w:r>
          <w:r>
            <w:t>12</w:t>
          </w:r>
        </w:p>
        <w:p>
          <w:pPr>
            <w:pStyle w:val="TOC2"/>
          </w:pPr>
          <w:r>
            <w:t xml:space="preserve">5.1 Conventions</w:t>
          </w:r>
          <w:r>
            <w:tab/>
          </w:r>
          <w:r>
            <w:t>12</w:t>
          </w:r>
        </w:p>
        <w:p>
          <w:pPr>
            <w:pStyle w:val="TOC2"/>
          </w:pPr>
          <w:r>
            <w:t xml:space="preserve">5.2 Market Requirements</w:t>
          </w:r>
          <w:r>
            <w:tab/>
          </w:r>
          <w:r>
            <w:t>12</w:t>
          </w:r>
        </w:p>
        <w:p>
          <w:pPr>
            <w:pStyle w:val="TOC2"/>
          </w:pPr>
          <w:r>
            <w:t xml:space="preserve">5.3 Market Requirement Rationale</w:t>
          </w:r>
          <w:r>
            <w:tab/>
          </w:r>
          <w:r>
            <w:t>12</w:t>
          </w:r>
        </w:p>
        <w:p>
          <w:pPr>
            <w:pStyle w:val="TOC1"/>
          </w:pPr>
          <w:r>
            <w:t xml:space="preserve">6 Value Proposition and Differentiation</w:t>
          </w:r>
          <w:r>
            <w:tab/>
          </w:r>
          <w:r>
            <w:t>13</w:t>
          </w:r>
        </w:p>
        <w:p>
          <w:pPr>
            <w:pStyle w:val="TOC2"/>
          </w:pPr>
          <w:r>
            <w:t xml:space="preserve">6.1 Value Proposition (Hypothesis)</w:t>
          </w:r>
          <w:r>
            <w:tab/>
          </w:r>
          <w:r>
            <w:t>13</w:t>
          </w:r>
        </w:p>
        <w:p>
          <w:pPr>
            <w:pStyle w:val="TOC2"/>
          </w:pPr>
          <w:r>
            <w:t xml:space="preserve">6.2 Proposed Differentiation (Hypothesis)</w:t>
          </w:r>
          <w:r>
            <w:tab/>
          </w:r>
          <w:r>
            <w:t>13</w:t>
          </w:r>
        </w:p>
        <w:p>
          <w:pPr>
            <w:pStyle w:val="TOC2"/>
          </w:pPr>
          <w:r>
            <w:t xml:space="preserve">6.3 Hypothesis Chain</w:t>
          </w:r>
          <w:r>
            <w:tab/>
          </w:r>
          <w:r>
            <w:t>13</w:t>
          </w:r>
        </w:p>
        <w:p>
          <w:pPr>
            <w:pStyle w:val="TOC1"/>
          </w:pPr>
          <w:r>
            <w:t xml:space="preserve">7 Success Measures</w:t>
          </w:r>
          <w:r>
            <w:tab/>
          </w:r>
          <w:r>
            <w:t>14</w:t>
          </w:r>
        </w:p>
        <w:p>
          <w:pPr>
            <w:pStyle w:val="TOC1"/>
          </w:pPr>
          <w:r>
            <w:t xml:space="preserve">8 Constraints, Assumptions and Open Questions</w:t>
          </w:r>
          <w:r>
            <w:tab/>
          </w:r>
          <w:r>
            <w:t>15</w:t>
          </w:r>
        </w:p>
        <w:p>
          <w:pPr>
            <w:pStyle w:val="TOC2"/>
          </w:pPr>
          <w:r>
            <w:t xml:space="preserve">8.1 Constraints</w:t>
          </w:r>
          <w:r>
            <w:tab/>
          </w:r>
          <w:r>
            <w:t>15</w:t>
          </w:r>
        </w:p>
        <w:p>
          <w:pPr>
            <w:pStyle w:val="TOC2"/>
          </w:pPr>
          <w:r>
            <w:t xml:space="preserve">8.2 Assumptions and Open Questions</w:t>
          </w:r>
          <w:r>
            <w:tab/>
          </w:r>
          <w:r>
            <w:t>15</w:t>
          </w:r>
        </w:p>
        <w:p>
          <w:pPr>
            <w:pStyle w:val="TOC2"/>
          </w:pPr>
          <w:r>
            <w:t xml:space="preserve">8.3 Dependencies</w:t>
          </w:r>
          <w:r>
            <w:tab/>
          </w:r>
          <w:r>
            <w:t>15</w:t>
          </w:r>
        </w:p>
        <w:p>
          <w:pPr>
            <w:pStyle w:val="TOC1"/>
          </w:pPr>
          <w:r>
            <w:t xml:space="preserve">9 Market and Delivery Risks</w:t>
          </w:r>
          <w:r>
            <w:tab/>
          </w:r>
          <w:r>
            <w:t>16</w:t>
          </w:r>
        </w:p>
        <w:p>
          <w:pPr>
            <w:pStyle w:val="TOC1"/>
          </w:pPr>
          <w:r>
            <w:t xml:space="preserve">10 Discovery Gate</w:t>
          </w:r>
          <w:r>
            <w:tab/>
          </w:r>
          <w:r>
            <w:t>17</w:t>
          </w:r>
        </w:p>
        <w:p>
          <w:pPr>
            <w:pStyle w:val="TOC1"/>
          </w:pPr>
          <w:r>
            <w:t xml:space="preserve">11 Traceability</w:t>
          </w:r>
          <w:r>
            <w:tab/>
          </w:r>
          <w:r>
            <w:t>18</w:t>
          </w:r>
        </w:p>
        <w:p>
          <w:pPr>
            <w:pStyle w:val="TOC2"/>
          </w:pPr>
          <w:r>
            <w:t xml:space="preserve">11.1 Market Requirement to Product Requirement</w:t>
          </w:r>
          <w:r>
            <w:tab/>
          </w:r>
          <w:r>
            <w:t>18</w:t>
          </w:r>
        </w:p>
        <w:p>
          <w:pPr>
            <w:pStyle w:val="TOC2"/>
          </w:pPr>
          <w:r>
            <w:t xml:space="preserve">11.2 Product Requirement to Market Requirement (Reverse)</w:t>
          </w:r>
          <w:r>
            <w:tab/>
          </w:r>
          <w:r>
            <w:t>18</w:t>
          </w:r>
        </w:p>
        <w:p>
          <w:pPr>
            <w:pStyle w:val="TOC2"/>
          </w:pPr>
          <w:r>
            <w:t xml:space="preserve">11.3 Market Requirement to Success Metric</w:t>
          </w:r>
          <w:r>
            <w:tab/>
          </w:r>
          <w:r>
            <w:t>19</w:t>
          </w:r>
        </w:p>
        <w:p>
          <w:pPr>
            <w:pStyle w:val="TOC1"/>
          </w:pPr>
          <w:r>
            <w:t xml:space="preserve">Appendix A — TBD Register</w:t>
          </w:r>
          <w:r>
            <w:tab/>
          </w:r>
          <w:r>
            <w:t>20</w:t>
          </w:r>
          <w:r>
            <w:fldChar w:fldCharType="end"/>
          </w:r>
        </w:p>
      </w:sdtContent>
    </w:sdt>
    <w:p>
      <w:r>
        <w:br w:type="page"/>
      </w:r>
    </w:p>
    <w:p>
      <w:pPr>
        <w:pBdr>
          <w:bottom w:val="single" w:color="1A7F7A" w:sz="6" w:space="2"/>
        </w:pBdr>
        <w:spacing w:after="120" w:before="240"/>
      </w:pPr>
      <w:r>
        <w:rPr>
          <w:rFonts w:ascii="Cambria" w:cs="Cambria" w:eastAsia="Cambria" w:hAnsi="Cambria"/>
          <w:b/>
          <w:bCs/>
          <w:color w:val="163A5A"/>
          <w:sz w:val="26"/>
          <w:szCs w:val="26"/>
        </w:rPr>
        <w:t xml:space="preserve">List of Figures</w:t>
      </w:r>
    </w:p>
    <w:sdt>
      <w:sdtPr>
        <w:alias w:val="List of Figures"/>
      </w:sdtPr>
      <w:sdtContent>
        <w:p>
          <w:pPr>
            <w:pStyle w:val="TableofFigures"/>
          </w:pPr>
          <w:r>
            <w:fldChar w:fldCharType="begin" w:dirty="true"/>
          </w:r>
          <w:r>
            <w:instrText xml:space="preserve">TOC \c "Figure" \h</w:instrText>
          </w:r>
          <w:r>
            <w:fldChar w:fldCharType="separate"/>
          </w:r>
          <w:r>
            <w:t xml:space="preserve">Figure 1 — Market context — target segments and open external dependencies</w:t>
          </w:r>
          <w:r>
            <w:tab/>
          </w:r>
          <w:r>
            <w:t>9</w:t>
          </w:r>
        </w:p>
        <w:p>
          <w:pPr>
            <w:pStyle w:val="TableofFigures"/>
          </w:pPr>
          <w:r>
            <w:t xml:space="preserve">Figure 2 — Problem → need → value → metric hypothesis chain</w:t>
          </w:r>
          <w:r>
            <w:tab/>
          </w:r>
          <w:r>
            <w:t>13</w:t>
          </w:r>
        </w:p>
        <w:p>
          <w:pPr>
            <w:pStyle w:val="TableofFigures"/>
          </w:pPr>
          <w:r>
            <w:t xml:space="preserve">Figure 3 — Discovery gate — preconditions for scope freeze and claims</w:t>
          </w:r>
          <w:r>
            <w:tab/>
          </w:r>
          <w:r>
            <w:t>17</w:t>
          </w:r>
          <w:r>
            <w:fldChar w:fldCharType="end"/>
          </w:r>
        </w:p>
      </w:sdtContent>
    </w:sdt>
    <w:p>
      <w:pPr>
        <w:pBdr>
          <w:bottom w:val="single" w:color="1A7F7A" w:sz="6" w:space="2"/>
        </w:pBdr>
        <w:spacing w:after="120" w:before="240"/>
      </w:pPr>
      <w:r>
        <w:rPr>
          <w:rFonts w:ascii="Cambria" w:cs="Cambria" w:eastAsia="Cambria" w:hAnsi="Cambria"/>
          <w:b/>
          <w:bCs/>
          <w:color w:val="163A5A"/>
          <w:sz w:val="26"/>
          <w:szCs w:val="26"/>
        </w:rPr>
        <w:t xml:space="preserve">List of Tables</w:t>
      </w:r>
    </w:p>
    <w:sdt>
      <w:sdtPr>
        <w:alias w:val="List of Tables"/>
      </w:sdtPr>
      <w:sdtContent>
        <w:p>
          <w:pPr>
            <w:pStyle w:val="TableofFigures"/>
          </w:pPr>
          <w:r>
            <w:fldChar w:fldCharType="begin" w:dirty="true"/>
          </w:r>
          <w:r>
            <w:instrText xml:space="preserve">TOC \c "Table" \h</w:instrText>
          </w:r>
          <w:r>
            <w:fldChar w:fldCharType="separate"/>
          </w:r>
          <w:r>
            <w:t xml:space="preserve">Table 1 — Acronyms and abbreviations</w:t>
          </w:r>
          <w:r>
            <w:tab/>
          </w:r>
          <w:r>
            <w:t>6</w:t>
          </w:r>
        </w:p>
        <w:p>
          <w:pPr>
            <w:pStyle w:val="TableofFigures"/>
          </w:pPr>
          <w:r>
            <w:t xml:space="preserve">Table 2 — Referenced documents</w:t>
          </w:r>
          <w:r>
            <w:tab/>
          </w:r>
          <w:r>
            <w:t>7</w:t>
          </w:r>
        </w:p>
        <w:p>
          <w:pPr>
            <w:pStyle w:val="TableofFigures"/>
          </w:pPr>
          <w:r>
            <w:t xml:space="preserve">Table 3 — Market problem hypotheses</w:t>
          </w:r>
          <w:r>
            <w:tab/>
          </w:r>
          <w:r>
            <w:t>8</w:t>
          </w:r>
        </w:p>
        <w:p>
          <w:pPr>
            <w:pStyle w:val="TableofFigures"/>
          </w:pPr>
          <w:r>
            <w:t xml:space="preserve">Table 4 — Target segments</w:t>
          </w:r>
          <w:r>
            <w:tab/>
          </w:r>
          <w:r>
            <w:t>10</w:t>
          </w:r>
        </w:p>
        <w:p>
          <w:pPr>
            <w:pStyle w:val="TableofFigures"/>
          </w:pPr>
          <w:r>
            <w:t xml:space="preserve">Table 5 — Competitor review — comparison dimensions</w:t>
          </w:r>
          <w:r>
            <w:tab/>
          </w:r>
          <w:r>
            <w:t>10</w:t>
          </w:r>
        </w:p>
        <w:p>
          <w:pPr>
            <w:pStyle w:val="TableofFigures"/>
          </w:pPr>
          <w:r>
            <w:t xml:space="preserve">Table 6 — Stakeholder register</w:t>
          </w:r>
          <w:r>
            <w:tab/>
          </w:r>
          <w:r>
            <w:t>11</w:t>
          </w:r>
        </w:p>
        <w:p>
          <w:pPr>
            <w:pStyle w:val="TableofFigures"/>
          </w:pPr>
          <w:r>
            <w:t xml:space="preserve">Table 7 — Market segment to product role mapping (derived)</w:t>
          </w:r>
          <w:r>
            <w:tab/>
          </w:r>
          <w:r>
            <w:t>11</w:t>
          </w:r>
        </w:p>
        <w:p>
          <w:pPr>
            <w:pStyle w:val="TableofFigures"/>
          </w:pPr>
          <w:r>
            <w:t xml:space="preserve">Table 8 — Market requirements</w:t>
          </w:r>
          <w:r>
            <w:tab/>
          </w:r>
          <w:r>
            <w:t>12</w:t>
          </w:r>
        </w:p>
        <w:p>
          <w:pPr>
            <w:pStyle w:val="TableofFigures"/>
          </w:pPr>
          <w:r>
            <w:t xml:space="preserve">Table 9 — Differentiation validation plan</w:t>
          </w:r>
          <w:r>
            <w:tab/>
          </w:r>
          <w:r>
            <w:t>13</w:t>
          </w:r>
        </w:p>
        <w:p>
          <w:pPr>
            <w:pStyle w:val="TableofFigures"/>
          </w:pPr>
          <w:r>
            <w:t xml:space="preserve">Table 10 — Success metrics to baseline</w:t>
          </w:r>
          <w:r>
            <w:tab/>
          </w:r>
          <w:r>
            <w:t>14</w:t>
          </w:r>
        </w:p>
        <w:p>
          <w:pPr>
            <w:pStyle w:val="TableofFigures"/>
          </w:pPr>
          <w:r>
            <w:t xml:space="preserve">Table 11 — Constraints</w:t>
          </w:r>
          <w:r>
            <w:tab/>
          </w:r>
          <w:r>
            <w:t>15</w:t>
          </w:r>
        </w:p>
        <w:p>
          <w:pPr>
            <w:pStyle w:val="TableofFigures"/>
          </w:pPr>
          <w:r>
            <w:t xml:space="preserve">Table 12 — Open questions</w:t>
          </w:r>
          <w:r>
            <w:tab/>
          </w:r>
          <w:r>
            <w:t>15</w:t>
          </w:r>
        </w:p>
        <w:p>
          <w:pPr>
            <w:pStyle w:val="TableofFigures"/>
          </w:pPr>
          <w:r>
            <w:t xml:space="preserve">Table 13 — Risk register</w:t>
          </w:r>
          <w:r>
            <w:tab/>
          </w:r>
          <w:r>
            <w:t>16</w:t>
          </w:r>
        </w:p>
        <w:p>
          <w:pPr>
            <w:pStyle w:val="TableofFigures"/>
          </w:pPr>
          <w:r>
            <w:t xml:space="preserve">Table 14 — Gate criteria</w:t>
          </w:r>
          <w:r>
            <w:tab/>
          </w:r>
          <w:r>
            <w:t>17</w:t>
          </w:r>
        </w:p>
        <w:p>
          <w:pPr>
            <w:pStyle w:val="TableofFigures"/>
          </w:pPr>
          <w:r>
            <w:t xml:space="preserve">Table 15 — MR → PR traceability</w:t>
          </w:r>
          <w:r>
            <w:tab/>
          </w:r>
          <w:r>
            <w:t>18</w:t>
          </w:r>
        </w:p>
        <w:p>
          <w:pPr>
            <w:pStyle w:val="TableofFigures"/>
          </w:pPr>
          <w:r>
            <w:t xml:space="preserve">Table 16 — PR → MR reverse traceability</w:t>
          </w:r>
          <w:r>
            <w:tab/>
          </w:r>
          <w:r>
            <w:t>18</w:t>
          </w:r>
        </w:p>
        <w:p>
          <w:pPr>
            <w:pStyle w:val="TableofFigures"/>
          </w:pPr>
          <w:r>
            <w:t xml:space="preserve">Table 17 — MR → success metric coverage</w:t>
          </w:r>
          <w:r>
            <w:tab/>
          </w:r>
          <w:r>
            <w:t>19</w:t>
          </w:r>
        </w:p>
        <w:p>
          <w:pPr>
            <w:pStyle w:val="TableofFigures"/>
          </w:pPr>
          <w:r>
            <w:t xml:space="preserve">Table 18 — TBD register</w:t>
          </w:r>
          <w:r>
            <w:tab/>
          </w:r>
          <w:r>
            <w:t>20</w:t>
          </w:r>
          <w:r>
            <w:fldChar w:fldCharType="end"/>
          </w:r>
        </w:p>
      </w:sdtContent>
    </w:sdt>
    <w:p>
      <w:pPr>
        <w:pStyle w:val="Heading1"/>
      </w:pPr>
      <w:r>
        <w:t xml:space="preserve">1 Introduction</w:t>
      </w:r>
    </w:p>
    <w:p>
      <w:pPr>
        <w:pStyle w:val="Heading2"/>
      </w:pPr>
      <w:r>
        <w:t xml:space="preserve">1.1 Purpose</w:t>
      </w:r>
    </w:p>
    <w:p>
      <w:pPr>
        <w:spacing w:after="120"/>
      </w:pPr>
      <w:r>
        <w:t xml:space="preserve">This Market Requirements Specification (MRS) records </w:t>
      </w:r>
      <w:r>
        <w:rPr>
          <w:b/>
          <w:bCs/>
        </w:rPr>
        <w:t xml:space="preserve">why</w:t>
      </w:r>
      <w:r>
        <w:t xml:space="preserve"> Aura is proposed, </w:t>
      </w:r>
      <w:r>
        <w:rPr>
          <w:b/>
          <w:bCs/>
        </w:rPr>
        <w:t xml:space="preserve">who</w:t>
      </w:r>
      <w:r>
        <w:t xml:space="preserve"> it is intended to serve and </w:t>
      </w:r>
      <w:r>
        <w:rPr>
          <w:b/>
          <w:bCs/>
        </w:rPr>
        <w:t xml:space="preserve">what the market is hypothesised to require</w:t>
      </w:r>
      <w:r>
        <w:t xml:space="preserve"> of it, independent of how it is built. It is the top of the Aura requirements hierarchy: each product requirement in AURA-PRS-1.0 traces upward to a market requirement in this document, and downward to the components in AURA-HLD-1.0.</w:t>
      </w:r>
    </w:p>
    <w:p>
      <w:pPr>
        <w:spacing w:after="120"/>
      </w:pPr>
      <w:r>
        <w:t xml:space="preserve">Aura is proposed as a workflow for collecting instrument-backed lending evidence and connecting it to reproducible decisions with traceable custody (MRS §1).</w:t>
      </w:r>
    </w:p>
    <w:p>
      <w:pPr>
        <w:pStyle w:val="Heading2"/>
      </w:pPr>
      <w:r>
        <w:t xml:space="preserve">1.2 Scope</w:t>
      </w:r>
    </w:p>
    <w:p>
      <w:pPr>
        <w:spacing w:after="120"/>
      </w:pPr>
      <w:r>
        <w:t xml:space="preserve">The scope of this baseline is the discovery-stage market definition of Aura: market problem hypotheses, target segments, user needs, value and differentiation hypotheses, success metrics to be baselined, and the open questions and gate that must be resolved before commercial scope is frozen.</w:t>
      </w:r>
    </w:p>
    <w:p>
      <w:pPr>
        <w:pStyle w:val="ListParagraph"/>
        <w:numPr>
          <w:ilvl w:val="0"/>
          <w:numId w:val="2"/>
        </w:numPr>
        <w:spacing w:after="60"/>
      </w:pPr>
      <w:r>
        <w:rPr>
          <w:b/>
          <w:bCs/>
        </w:rPr>
        <w:t xml:space="preserve">In scope:</w:t>
      </w:r>
      <w:r>
        <w:t xml:space="preserve"> evidence capture with source, timestamp and ownership metadata; completeness and quality validation before decisioning; decision-to-evidence and decision-to-rule traceability; decision reconstruction for review or audit; exception and approval management with role-based permissions (MRS §4).</w:t>
      </w:r>
    </w:p>
    <w:p>
      <w:pPr>
        <w:pStyle w:val="ListParagraph"/>
        <w:numPr>
          <w:ilvl w:val="0"/>
          <w:numId w:val="2"/>
        </w:numPr>
        <w:spacing w:after="60"/>
      </w:pPr>
      <w:r>
        <w:rPr>
          <w:b/>
          <w:bCs/>
        </w:rPr>
        <w:t xml:space="preserve">Not yet determined:</w:t>
      </w:r>
      <w:r>
        <w:t xml:space="preserve"> lending product, jurisdiction, supported instruments/devices and evidence formats, applicable bank policies and approval rules, data retention/residency/consent rules, integrated LOS/LMS/core systems, and operational support ownership (MRS §9). All are </w:t>
      </w:r>
      <w:r>
        <w:rPr>
          <w:b/>
          <w:bCs/>
          <w:color w:val="B7791F"/>
        </w:rPr>
        <w:t xml:space="preserve">TBD</w:t>
      </w:r>
      <w:r>
        <w:t xml:space="preserve">.</w:t>
      </w:r>
    </w:p>
    <w:p>
      <w:pPr>
        <w:pStyle w:val="ListParagraph"/>
        <w:numPr>
          <w:ilvl w:val="0"/>
          <w:numId w:val="2"/>
        </w:numPr>
        <w:spacing w:after="60"/>
      </w:pPr>
      <w:r>
        <w:rPr>
          <w:b/>
          <w:bCs/>
        </w:rPr>
        <w:t xml:space="preserve">Excluded from this baseline:</w:t>
      </w:r>
      <w:r>
        <w:t xml:space="preserve"> market sizing, pricing, competitor names and market-share claims, and any compliance claim (MRS §6, §10).</w:t>
      </w:r>
    </w:p>
    <w:p>
      <w:pPr>
        <w:pStyle w:val="Heading2"/>
      </w:pPr>
      <w:r>
        <w:t xml:space="preserve">1.3 Definitions, Acronyms and Abbreviations</w:t>
      </w:r>
    </w:p>
    <w:p>
      <w:pPr>
        <w:pStyle w:val="Caption"/>
        <w:keepNext/>
        <w:jc w:val="center"/>
      </w:pPr>
      <w:r>
        <w:rPr>
          <w:b/>
          <w:bCs/>
        </w:rPr>
        <w:t xml:space="preserve">Table </w:t>
      </w:r>
      <w:r>
        <w:fldChar w:fldCharType="begin"/>
      </w:r>
      <w:r>
        <w:instrText xml:space="preserve"> SEQ Table \* ARABIC </w:instrText>
      </w:r>
      <w:r>
        <w:fldChar w:fldCharType="separate"/>
      </w:r>
      <w:r>
        <w:rPr>
          <w:b/>
          <w:bCs/>
        </w:rPr>
        <w:t>1</w:t>
      </w:r>
      <w:r>
        <w:fldChar w:fldCharType="end"/>
      </w:r>
      <w:r>
        <w:rPr>
          <w:b/>
          <w:bCs/>
        </w:rPr>
        <w:t xml:space="preserve"> — </w:t>
      </w:r>
      <w:r>
        <w:rPr>
          <w:i/>
          <w:iCs/>
        </w:rPr>
        <w:t xml:space="preserve">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Term</w:t>
            </w:r>
          </w:p>
        </w:tc>
        <w:tc>
          <w:tcPr>
            <w:tcW w:type="dxa" w:w="76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Definition</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BRS</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Business Requirements Specification (ISO/IEC/IEEE 29148:2018); the MRS is written to BRS content.</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Custody</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Traceable record of who held, submitted or changed evidence and when; source term "traceable custody" (MRS §1).</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Evidence lineage</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The ability to trace a decision back to the evidence and rules used (MRS §4, §8).</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HLD</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High-Level Design (AURA-HLD-1.0).</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Instrument-backed evidence</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Lending evidence collected via instruments/devices; supported instruments and formats are </w:t>
            </w:r>
            <w:r>
              <w:rPr>
                <w:b/>
                <w:bCs/>
                <w:color w:val="B7791F"/>
                <w:sz w:val="18"/>
                <w:szCs w:val="18"/>
              </w:rPr>
              <w:t xml:space="preserve">TBD</w:t>
            </w:r>
            <w:r>
              <w:rPr>
                <w:b w:val="false"/>
                <w:bCs w:val="false"/>
                <w:color w:val="222222"/>
                <w:sz w:val="18"/>
                <w:szCs w:val="18"/>
              </w:rPr>
              <w:t xml:space="preserve"> (MRS §9).</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LOS / LMS</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Loan Origination System / Loan Management System (MRS §9).</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Market requirement identifier used in this document (derived from MRS §4 user needs).</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MRS</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Market Requirements Specification (this document).</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Product requirement identifier (AURA-PRS-1.0).</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PRS</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Product Requirements Specification (AURA-PRS-1.0).</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RBAC</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Role-based access control.</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 / </w:t>
            </w:r>
            <w:r>
              <w:rPr>
                <w:b/>
                <w:bCs/>
                <w:color w:val="B7791F"/>
                <w:sz w:val="18"/>
                <w:szCs w:val="18"/>
              </w:rPr>
              <w:t xml:space="preserve">TBC</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To be determined / to be confirmed.</w:t>
            </w:r>
          </w:p>
        </w:tc>
      </w:tr>
    </w:tbl>
    <w:p>
      <w:pPr>
        <w:spacing w:after="120"/>
      </w:pPr>
    </w:p>
    <w:p>
      <w:pPr>
        <w:pStyle w:val="Heading2"/>
      </w:pPr>
      <w:r>
        <w:t xml:space="preserve">1.4 References</w:t>
      </w:r>
    </w:p>
    <w:p>
      <w:pPr>
        <w:pStyle w:val="Caption"/>
        <w:keepNext/>
        <w:jc w:val="center"/>
      </w:pPr>
      <w:r>
        <w:rPr>
          <w:b/>
          <w:bCs/>
        </w:rPr>
        <w:t xml:space="preserve">Table </w:t>
      </w:r>
      <w:r>
        <w:fldChar w:fldCharType="begin"/>
      </w:r>
      <w:r>
        <w:instrText xml:space="preserve"> SEQ Table \* ARABIC </w:instrText>
      </w:r>
      <w:r>
        <w:fldChar w:fldCharType="separate"/>
      </w:r>
      <w:r>
        <w:rPr>
          <w:b/>
          <w:bCs/>
        </w:rPr>
        <w:t>2</w:t>
      </w:r>
      <w:r>
        <w:fldChar w:fldCharType="end"/>
      </w:r>
      <w:r>
        <w:rPr>
          <w:b/>
          <w:bCs/>
        </w:rPr>
        <w:t xml:space="preserve"> — </w:t>
      </w:r>
      <w:r>
        <w:rPr>
          <w:i/>
          <w:iCs/>
        </w:rPr>
        <w:t xml:space="preserve">Referenced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072"/>
        <w:gridCol w:w="3806"/>
      </w:tblGrid>
      <w:tr>
        <w:trPr>
          <w:cantSplit/>
          <w:tblHeader/>
        </w:trPr>
        <w:tc>
          <w:tcPr>
            <w:tcW w:type="dxa" w:w="76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Ref</w:t>
            </w:r>
          </w:p>
        </w:tc>
        <w:tc>
          <w:tcPr>
            <w:tcW w:type="dxa" w:w="507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Document</w:t>
            </w:r>
          </w:p>
        </w:tc>
        <w:tc>
          <w:tcPr>
            <w:tcW w:type="dxa" w:w="38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Relevance</w:t>
            </w:r>
          </w:p>
        </w:tc>
      </w:tr>
      <w:tr>
        <w:trPr>
          <w:cantSplit/>
        </w:trPr>
        <w:tc>
          <w:tcPr>
            <w:tcW w:type="dxa" w:w="76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w:t>
            </w:r>
          </w:p>
        </w:tc>
        <w:tc>
          <w:tcPr>
            <w:tcW w:type="dxa" w:w="50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29148:2018 — Systems and software engineering — Life cycle processes — Requirements engineering</w:t>
            </w:r>
          </w:p>
        </w:tc>
        <w:tc>
          <w:tcPr>
            <w:tcW w:type="dxa" w:w="38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BRS/StRS content structure and requirement quality attributes.</w:t>
            </w:r>
          </w:p>
        </w:tc>
      </w:tr>
      <w:tr>
        <w:trPr>
          <w:cantSplit/>
        </w:trPr>
        <w:tc>
          <w:tcPr>
            <w:tcW w:type="dxa" w:w="76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w:t>
            </w:r>
          </w:p>
        </w:tc>
        <w:tc>
          <w:tcPr>
            <w:tcW w:type="dxa" w:w="50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Aura_MRS.md — Aura Market Requirements Specification (Discovery Baseline)</w:t>
            </w:r>
          </w:p>
        </w:tc>
        <w:tc>
          <w:tcPr>
            <w:tcW w:type="dxa" w:w="38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Sole source of market-specific content in this document.</w:t>
            </w:r>
          </w:p>
        </w:tc>
      </w:tr>
      <w:tr>
        <w:trPr>
          <w:cantSplit/>
        </w:trPr>
        <w:tc>
          <w:tcPr>
            <w:tcW w:type="dxa" w:w="76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w:t>
            </w:r>
          </w:p>
        </w:tc>
        <w:tc>
          <w:tcPr>
            <w:tcW w:type="dxa" w:w="50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AURA-PRS-1.0 — Aura Product Requirements Specification (from Aura_PRS.md)</w:t>
            </w:r>
          </w:p>
        </w:tc>
        <w:tc>
          <w:tcPr>
            <w:tcW w:type="dxa" w:w="38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Downward traceability (MR → PR).</w:t>
            </w:r>
          </w:p>
        </w:tc>
      </w:tr>
      <w:tr>
        <w:trPr>
          <w:cantSplit/>
        </w:trPr>
        <w:tc>
          <w:tcPr>
            <w:tcW w:type="dxa" w:w="76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w:t>
            </w:r>
          </w:p>
        </w:tc>
        <w:tc>
          <w:tcPr>
            <w:tcW w:type="dxa" w:w="50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AURA-HLD-1.0 — Aura High-Level Design (from Aura_HLD.md)</w:t>
            </w:r>
          </w:p>
        </w:tc>
        <w:tc>
          <w:tcPr>
            <w:tcW w:type="dxa" w:w="38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 risks and pending decisions referenced in §9.</w:t>
            </w:r>
          </w:p>
        </w:tc>
      </w:tr>
    </w:tbl>
    <w:p>
      <w:pPr>
        <w:spacing w:after="120"/>
      </w:pPr>
    </w:p>
    <w:p>
      <w:pPr>
        <w:pStyle w:val="Heading2"/>
      </w:pPr>
      <w:r>
        <w:t xml:space="preserve">1.5 Document Overview</w:t>
      </w:r>
    </w:p>
    <w:p>
      <w:pPr>
        <w:spacing w:after="120"/>
      </w:pPr>
      <w:r>
        <w:t xml:space="preserve">Section 2 sets the business context; Section 3 the market analysis; Section 4 the stakeholders; Section 5 the market requirements; Section 6 value and differentiation hypotheses; Section 7 success measures; Section 8 constraints, assumptions and open questions; Section 9 risks; Section 10 the discovery gate; Section 11 traceability. Appendix A lists every </w:t>
      </w:r>
      <w:r>
        <w:rPr>
          <w:b/>
          <w:bCs/>
          <w:color w:val="B7791F"/>
        </w:rPr>
        <w:t xml:space="preserve">TBD</w:t>
      </w:r>
      <w:r>
        <w:t xml:space="preserve"> item.</w:t>
      </w:r>
    </w:p>
    <w:p>
      <w:pPr>
        <w:pBdr>
          <w:left w:val="single" w:color="B7791F" w:sz="18" w:space="8"/>
        </w:pBdr>
        <w:shd w:fill="FFF8EC" w:color="auto" w:val="clear"/>
        <w:spacing w:after="160" w:before="60"/>
        <w:ind w:left="200"/>
      </w:pPr>
      <w:r>
        <w:rPr>
          <w:i/>
          <w:iCs/>
          <w:color w:val="5B6B7C"/>
          <w:sz w:val="19"/>
          <w:szCs w:val="19"/>
        </w:rPr>
        <w:t xml:space="preserve">Discovery-stage caveat: the source explicitly frames the problem, value proposition and differentiation as hypotheses to validate with target banks and users (MRS §2, §5, §7). This document preserves that status and does not convert hypotheses into claims.</w:t>
      </w:r>
    </w:p>
    <w:p>
      <w:pPr>
        <w:pStyle w:val="Heading1"/>
      </w:pPr>
      <w:r>
        <w:t xml:space="preserve">2 Business Context</w:t>
      </w:r>
    </w:p>
    <w:p>
      <w:pPr>
        <w:pStyle w:val="Heading2"/>
      </w:pPr>
      <w:r>
        <w:t xml:space="preserve">2.1 Business Purpose</w:t>
      </w:r>
    </w:p>
    <w:p>
      <w:pPr>
        <w:spacing w:after="120"/>
      </w:pPr>
      <w:r>
        <w:t xml:space="preserve">Aura is proposed as a workflow for collecting instrument-backed lending evidence and connecting it to reproducible decisions with traceable custody (MRS §1). The business sponsor, funding model and portfolio position are </w:t>
      </w:r>
      <w:r>
        <w:rPr>
          <w:b/>
          <w:bCs/>
          <w:color w:val="B7791F"/>
        </w:rPr>
        <w:t xml:space="preserve">TBD</w:t>
      </w:r>
      <w:r>
        <w:t xml:space="preserve">.</w:t>
      </w:r>
    </w:p>
    <w:p>
      <w:pPr>
        <w:pStyle w:val="Heading2"/>
      </w:pPr>
      <w:r>
        <w:t xml:space="preserve">2.2 Problem Statement (Hypothesis)</w:t>
      </w:r>
    </w:p>
    <w:p>
      <w:pPr>
        <w:spacing w:after="120"/>
      </w:pPr>
      <w:r>
        <w:t xml:space="preserve">Lending workflows may involve fragmented documents, inconsistent evidence, manual validation, opaque decision rationale, and difficulty reconstructing what information informed a decision. These are hypotheses to validate with target banks and users (MRS §2).</w:t>
      </w:r>
    </w:p>
    <w:p>
      <w:pPr>
        <w:pStyle w:val="Caption"/>
        <w:keepNext/>
        <w:jc w:val="center"/>
      </w:pPr>
      <w:r>
        <w:rPr>
          <w:b/>
          <w:bCs/>
        </w:rPr>
        <w:t xml:space="preserve">Table </w:t>
      </w:r>
      <w:r>
        <w:fldChar w:fldCharType="begin"/>
      </w:r>
      <w:r>
        <w:instrText xml:space="preserve"> SEQ Table \* ARABIC </w:instrText>
      </w:r>
      <w:r>
        <w:fldChar w:fldCharType="separate"/>
      </w:r>
      <w:r>
        <w:rPr>
          <w:b/>
          <w:bCs/>
        </w:rPr>
        <w:t>3</w:t>
      </w:r>
      <w:r>
        <w:fldChar w:fldCharType="end"/>
      </w:r>
      <w:r>
        <w:rPr>
          <w:b/>
          <w:bCs/>
        </w:rPr>
        <w:t xml:space="preserve"> — </w:t>
      </w:r>
      <w:r>
        <w:rPr>
          <w:i/>
          <w:iCs/>
        </w:rPr>
        <w:t xml:space="preserve">Market problem hypotheses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1"/>
        <w:gridCol w:w="3807"/>
        <w:gridCol w:w="1308"/>
        <w:gridCol w:w="3572"/>
      </w:tblGrid>
      <w:tr>
        <w:trPr>
          <w:cantSplit/>
          <w:tblHeader/>
        </w:trPr>
        <w:tc>
          <w:tcPr>
            <w:tcW w:type="dxa" w:w="95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8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Problem hypothesis</w:t>
            </w:r>
          </w:p>
        </w:tc>
        <w:tc>
          <w:tcPr>
            <w:tcW w:type="dxa" w:w="130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c>
          <w:tcPr>
            <w:tcW w:type="dxa" w:w="357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Validation method</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MP-01</w:t>
            </w:r>
          </w:p>
        </w:tc>
        <w:tc>
          <w:tcPr>
            <w:tcW w:type="dxa" w:w="3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Fragmented documents in lending workflows</w:t>
            </w:r>
          </w:p>
        </w:tc>
        <w:tc>
          <w:tcPr>
            <w:tcW w:type="dxa" w:w="130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Hypothesis</w:t>
            </w:r>
          </w:p>
        </w:tc>
        <w:tc>
          <w:tcPr>
            <w:tcW w:type="dxa" w:w="35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with target banks and users (MRS §2)</w:t>
            </w:r>
          </w:p>
        </w:tc>
      </w:tr>
      <w:tr>
        <w:trPr>
          <w:cantSplit/>
        </w:trPr>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MP-02</w:t>
            </w:r>
          </w:p>
        </w:tc>
        <w:tc>
          <w:tcPr>
            <w:tcW w:type="dxa" w:w="3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Inconsistent evidence</w:t>
            </w:r>
          </w:p>
        </w:tc>
        <w:tc>
          <w:tcPr>
            <w:tcW w:type="dxa" w:w="130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Hypothesis</w:t>
            </w:r>
          </w:p>
        </w:tc>
        <w:tc>
          <w:tcPr>
            <w:tcW w:type="dxa" w:w="35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with target banks and users (MRS §2)</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MP-03</w:t>
            </w:r>
          </w:p>
        </w:tc>
        <w:tc>
          <w:tcPr>
            <w:tcW w:type="dxa" w:w="3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Manual validation</w:t>
            </w:r>
          </w:p>
        </w:tc>
        <w:tc>
          <w:tcPr>
            <w:tcW w:type="dxa" w:w="130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Hypothesis</w:t>
            </w:r>
          </w:p>
        </w:tc>
        <w:tc>
          <w:tcPr>
            <w:tcW w:type="dxa" w:w="35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with target banks and users (MRS §2)</w:t>
            </w:r>
          </w:p>
        </w:tc>
      </w:tr>
      <w:tr>
        <w:trPr>
          <w:cantSplit/>
        </w:trPr>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MP-04</w:t>
            </w:r>
          </w:p>
        </w:tc>
        <w:tc>
          <w:tcPr>
            <w:tcW w:type="dxa" w:w="3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Opaque decision rationale</w:t>
            </w:r>
          </w:p>
        </w:tc>
        <w:tc>
          <w:tcPr>
            <w:tcW w:type="dxa" w:w="130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Hypothesis</w:t>
            </w:r>
          </w:p>
        </w:tc>
        <w:tc>
          <w:tcPr>
            <w:tcW w:type="dxa" w:w="35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with target banks and users (MRS §2)</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MP-05</w:t>
            </w:r>
          </w:p>
        </w:tc>
        <w:tc>
          <w:tcPr>
            <w:tcW w:type="dxa" w:w="3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Difficulty reconstructing what information informed a decision</w:t>
            </w:r>
          </w:p>
        </w:tc>
        <w:tc>
          <w:tcPr>
            <w:tcW w:type="dxa" w:w="130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Hypothesis</w:t>
            </w:r>
          </w:p>
        </w:tc>
        <w:tc>
          <w:tcPr>
            <w:tcW w:type="dxa" w:w="35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with target banks and users (MRS §2)</w:t>
            </w:r>
          </w:p>
        </w:tc>
      </w:tr>
    </w:tbl>
    <w:p>
      <w:pPr>
        <w:spacing w:after="120"/>
      </w:pPr>
    </w:p>
    <w:p>
      <w:pPr>
        <w:pStyle w:val="Heading2"/>
      </w:pPr>
      <w:r>
        <w:t xml:space="preserve">2.3 Market Context</w:t>
      </w:r>
    </w:p>
    <w:p>
      <w:pPr>
        <w:spacing w:after="120"/>
      </w:pPr>
      <w:r>
        <w:t xml:space="preserve">The figure below places Aura among its target segments and the external dependencies that the source identifies as open (integration systems; policy, retention, residency and consent rules).</w:t>
      </w:r>
    </w:p>
    <w:p>
      <w:pPr>
        <w:keepNext/>
        <w:spacing w:after="60" w:before="120" w:line="240" w:lineRule="auto"/>
        <w:jc w:val="center"/>
      </w:pPr>
      <w:r>
        <w:drawing>
          <wp:inline distT="0" distB="0" distL="0" distR="0">
            <wp:extent cx="6076950" cy="3600450"/>
            <wp:effectExtent t="0" r="0" b="0" l="0"/>
            <wp:docPr id="1" name="Market context — target segments and open external dependencies" descr="Market context — target segments and open external dependencies" title="Market context — target segments and open external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36004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w:t>
      </w:r>
      <w:r>
        <w:fldChar w:fldCharType="end"/>
      </w:r>
      <w:r>
        <w:rPr>
          <w:b/>
          <w:bCs/>
        </w:rPr>
        <w:t xml:space="preserve"> — </w:t>
      </w:r>
      <w:r>
        <w:rPr>
          <w:i/>
          <w:iCs/>
        </w:rPr>
        <w:t xml:space="preserve">Market context — target segments and open external dependencies</w:t>
      </w:r>
    </w:p>
    <w:p>
      <w:pPr>
        <w:pStyle w:val="Heading1"/>
      </w:pPr>
      <w:r>
        <w:t xml:space="preserve">3 Market Analysis</w:t>
      </w:r>
    </w:p>
    <w:p>
      <w:pPr>
        <w:pStyle w:val="Heading2"/>
      </w:pPr>
      <w:r>
        <w:t xml:space="preserve">3.1 Target Segments</w:t>
      </w:r>
    </w:p>
    <w:p>
      <w:pPr>
        <w:pStyle w:val="Caption"/>
        <w:keepNext/>
        <w:jc w:val="center"/>
      </w:pPr>
      <w:r>
        <w:rPr>
          <w:b/>
          <w:bCs/>
        </w:rPr>
        <w:t xml:space="preserve">Table </w:t>
      </w:r>
      <w:r>
        <w:fldChar w:fldCharType="begin"/>
      </w:r>
      <w:r>
        <w:instrText xml:space="preserve"> SEQ Table \* ARABIC </w:instrText>
      </w:r>
      <w:r>
        <w:fldChar w:fldCharType="separate"/>
      </w:r>
      <w:r>
        <w:rPr>
          <w:b/>
          <w:bCs/>
        </w:rPr>
        <w:t>4</w:t>
      </w:r>
      <w:r>
        <w:fldChar w:fldCharType="end"/>
      </w:r>
      <w:r>
        <w:rPr>
          <w:b/>
          <w:bCs/>
        </w:rPr>
        <w:t xml:space="preserve"> — </w:t>
      </w:r>
      <w:r>
        <w:rPr>
          <w:i/>
          <w:iCs/>
        </w:rPr>
        <w:t xml:space="preserve">Target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3055"/>
        <w:gridCol w:w="3996"/>
        <w:gridCol w:w="1647"/>
      </w:tblGrid>
      <w:tr>
        <w:trPr>
          <w:cantSplit/>
          <w:tblHeader/>
        </w:trPr>
        <w:tc>
          <w:tcPr>
            <w:tcW w:type="dxa" w:w="94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05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Segment</w:t>
            </w:r>
          </w:p>
        </w:tc>
        <w:tc>
          <w:tcPr>
            <w:tcW w:type="dxa" w:w="399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 in market</w:t>
            </w:r>
          </w:p>
        </w:tc>
        <w:tc>
          <w:tcPr>
            <w:tcW w:type="dxa" w:w="16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Segment size / priority</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MS-01</w:t>
            </w:r>
          </w:p>
        </w:tc>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Banks and regulated lenders</w:t>
            </w:r>
          </w:p>
        </w:tc>
        <w:tc>
          <w:tcPr>
            <w:tcW w:type="dxa" w:w="39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Buying organisation (MRS §3)</w:t>
            </w:r>
          </w:p>
        </w:tc>
        <w:tc>
          <w:tcPr>
            <w:tcW w:type="dxa" w:w="16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MS-02</w:t>
            </w:r>
          </w:p>
        </w:tc>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Lending operations and underwriting teams</w:t>
            </w:r>
          </w:p>
        </w:tc>
        <w:tc>
          <w:tcPr>
            <w:tcW w:type="dxa" w:w="39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Primary users of intake, validation and decision workflow (MRS §3)</w:t>
            </w:r>
          </w:p>
        </w:tc>
        <w:tc>
          <w:tcPr>
            <w:tcW w:type="dxa" w:w="16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MS-03</w:t>
            </w:r>
          </w:p>
        </w:tc>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Risk and compliance teams</w:t>
            </w:r>
          </w:p>
        </w:tc>
        <w:tc>
          <w:tcPr>
            <w:tcW w:type="dxa" w:w="399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Users of traceability, reconstruction and audit (MRS §3)</w:t>
            </w:r>
          </w:p>
        </w:tc>
        <w:tc>
          <w:tcPr>
            <w:tcW w:type="dxa" w:w="16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MS-04</w:t>
            </w:r>
          </w:p>
        </w:tc>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Field teams and instrument/evidence collection partners</w:t>
            </w:r>
          </w:p>
        </w:tc>
        <w:tc>
          <w:tcPr>
            <w:tcW w:type="dxa" w:w="399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capture at source (MRS §3)</w:t>
            </w:r>
          </w:p>
        </w:tc>
        <w:tc>
          <w:tcPr>
            <w:tcW w:type="dxa" w:w="16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Bdr>
          <w:left w:val="single" w:color="B7791F" w:sz="18" w:space="8"/>
        </w:pBdr>
        <w:shd w:fill="FFF8EC" w:color="auto" w:val="clear"/>
        <w:spacing w:after="160" w:before="60"/>
        <w:ind w:left="200"/>
      </w:pPr>
      <w:r>
        <w:rPr>
          <w:i/>
          <w:iCs/>
          <w:color w:val="5B6B7C"/>
          <w:sz w:val="19"/>
          <w:szCs w:val="19"/>
        </w:rPr>
        <w:t xml:space="preserve">The "Role in market" column is a derived reading of how each segment relates to the user needs in MRS §4; buyer vs. user roles must be confirmed through customer discovery.</w:t>
      </w:r>
    </w:p>
    <w:p>
      <w:pPr>
        <w:pStyle w:val="Heading2"/>
      </w:pPr>
      <w:r>
        <w:t xml:space="preserve">3.2 Competitive Intelligence</w:t>
      </w:r>
    </w:p>
    <w:p>
      <w:pPr>
        <w:spacing w:after="120"/>
      </w:pPr>
      <w:r>
        <w:t xml:space="preserve">Competitor names, feature comparisons, pricing and market-share claims have not been independently validated in this baseline. A source-backed competitor review shall be conducted before external circulation (MRS §6). The comparison dimensions mandated by the source are recorded below; every assessment is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5</w:t>
      </w:r>
      <w:r>
        <w:fldChar w:fldCharType="end"/>
      </w:r>
      <w:r>
        <w:rPr>
          <w:b/>
          <w:bCs/>
        </w:rPr>
        <w:t xml:space="preserve"> — </w:t>
      </w:r>
      <w:r>
        <w:rPr>
          <w:i/>
          <w:iCs/>
        </w:rPr>
        <w:t xml:space="preserve">Competitor review — comparison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3526"/>
        <w:gridCol w:w="2115"/>
        <w:gridCol w:w="3057"/>
      </w:tblGrid>
      <w:tr>
        <w:trPr>
          <w:cantSplit/>
          <w:tblHeader/>
        </w:trPr>
        <w:tc>
          <w:tcPr>
            <w:tcW w:type="dxa" w:w="94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52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Comparison dimension</w:t>
            </w:r>
          </w:p>
        </w:tc>
        <w:tc>
          <w:tcPr>
            <w:tcW w:type="dxa" w:w="211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Aura position</w:t>
            </w:r>
          </w:p>
        </w:tc>
        <w:tc>
          <w:tcPr>
            <w:tcW w:type="dxa" w:w="305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Competitor assessment</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CD-01</w:t>
            </w:r>
          </w:p>
        </w:tc>
        <w:tc>
          <w:tcPr>
            <w:tcW w:type="dxa" w:w="35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ingestion</w:t>
            </w:r>
          </w:p>
        </w:tc>
        <w:tc>
          <w:tcPr>
            <w:tcW w:type="dxa" w:w="2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CD-02</w:t>
            </w:r>
          </w:p>
        </w:tc>
        <w:tc>
          <w:tcPr>
            <w:tcW w:type="dxa" w:w="35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Workflow configurability</w:t>
            </w:r>
          </w:p>
        </w:tc>
        <w:tc>
          <w:tcPr>
            <w:tcW w:type="dxa" w:w="2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CD-03</w:t>
            </w:r>
          </w:p>
        </w:tc>
        <w:tc>
          <w:tcPr>
            <w:tcW w:type="dxa" w:w="35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 history</w:t>
            </w:r>
          </w:p>
        </w:tc>
        <w:tc>
          <w:tcPr>
            <w:tcW w:type="dxa" w:w="2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CD-04</w:t>
            </w:r>
          </w:p>
        </w:tc>
        <w:tc>
          <w:tcPr>
            <w:tcW w:type="dxa" w:w="35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options</w:t>
            </w:r>
          </w:p>
        </w:tc>
        <w:tc>
          <w:tcPr>
            <w:tcW w:type="dxa" w:w="2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CD-05</w:t>
            </w:r>
          </w:p>
        </w:tc>
        <w:tc>
          <w:tcPr>
            <w:tcW w:type="dxa" w:w="35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Explainability</w:t>
            </w:r>
          </w:p>
        </w:tc>
        <w:tc>
          <w:tcPr>
            <w:tcW w:type="dxa" w:w="2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CD-06</w:t>
            </w:r>
          </w:p>
        </w:tc>
        <w:tc>
          <w:tcPr>
            <w:tcW w:type="dxa" w:w="35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Deployment model</w:t>
            </w:r>
          </w:p>
        </w:tc>
        <w:tc>
          <w:tcPr>
            <w:tcW w:type="dxa" w:w="2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CD-07</w:t>
            </w:r>
          </w:p>
        </w:tc>
        <w:tc>
          <w:tcPr>
            <w:tcW w:type="dxa" w:w="35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w:t>
            </w:r>
          </w:p>
        </w:tc>
        <w:tc>
          <w:tcPr>
            <w:tcW w:type="dxa" w:w="2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CD-08</w:t>
            </w:r>
          </w:p>
        </w:tc>
        <w:tc>
          <w:tcPr>
            <w:tcW w:type="dxa" w:w="35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Total cost of ownership</w:t>
            </w:r>
          </w:p>
        </w:tc>
        <w:tc>
          <w:tcPr>
            <w:tcW w:type="dxa" w:w="2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305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 source-backed review</w:t>
            </w:r>
          </w:p>
        </w:tc>
      </w:tr>
    </w:tbl>
    <w:p>
      <w:pPr>
        <w:spacing w:after="120"/>
      </w:pPr>
    </w:p>
    <w:p>
      <w:pPr>
        <w:pStyle w:val="Heading2"/>
      </w:pPr>
      <w:r>
        <w:t xml:space="preserve">3.3 Market Sizing and Pricing</w:t>
      </w:r>
    </w:p>
    <w:p>
      <w:pPr>
        <w:spacing w:after="120"/>
      </w:pPr>
      <w:r>
        <w:t xml:space="preserve">Market sizing, pricing and commercial packaging are not addressed in the source baseline and are </w:t>
      </w:r>
      <w:r>
        <w:rPr>
          <w:b/>
          <w:bCs/>
          <w:color w:val="B7791F"/>
        </w:rPr>
        <w:t xml:space="preserve">TBD</w:t>
      </w:r>
      <w:r>
        <w:t xml:space="preserve">. Commercial scope shall not be frozen until the discovery gate in Section 10 is passed (MRS §10).</w:t>
      </w:r>
    </w:p>
    <w:p>
      <w:pPr>
        <w:pStyle w:val="Heading1"/>
      </w:pPr>
      <w:r>
        <w:t xml:space="preserve">4 Stakeholders</w:t>
      </w:r>
    </w:p>
    <w:p>
      <w:pPr>
        <w:pStyle w:val="Heading2"/>
      </w:pPr>
      <w:r>
        <w:t xml:space="preserve">4.1 Stakeholder Register</w:t>
      </w:r>
    </w:p>
    <w:p>
      <w:pPr>
        <w:pStyle w:val="Caption"/>
        <w:keepNext/>
        <w:jc w:val="center"/>
      </w:pPr>
      <w:r>
        <w:rPr>
          <w:b/>
          <w:bCs/>
        </w:rPr>
        <w:t xml:space="preserve">Table </w:t>
      </w:r>
      <w:r>
        <w:fldChar w:fldCharType="begin"/>
      </w:r>
      <w:r>
        <w:instrText xml:space="preserve"> SEQ Table \* ARABIC </w:instrText>
      </w:r>
      <w:r>
        <w:fldChar w:fldCharType="separate"/>
      </w:r>
      <w:r>
        <w:rPr>
          <w:b/>
          <w:bCs/>
        </w:rPr>
        <w:t>6</w:t>
      </w:r>
      <w:r>
        <w:fldChar w:fldCharType="end"/>
      </w:r>
      <w:r>
        <w:rPr>
          <w:b/>
          <w:bCs/>
        </w:rPr>
        <w:t xml:space="preserve"> — </w:t>
      </w:r>
      <w:r>
        <w:rPr>
          <w:i/>
          <w:iCs/>
        </w:rPr>
        <w:t xml:space="preserve">Stakeholder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5"/>
        <w:gridCol w:w="1175"/>
        <w:gridCol w:w="4231"/>
        <w:gridCol w:w="1177"/>
      </w:tblGrid>
      <w:tr>
        <w:trPr>
          <w:cantSplit/>
          <w:tblHeader/>
        </w:trPr>
        <w:tc>
          <w:tcPr>
            <w:tcW w:type="dxa" w:w="305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Stakeholder</w:t>
            </w:r>
          </w:p>
        </w:tc>
        <w:tc>
          <w:tcPr>
            <w:tcW w:type="dxa" w:w="117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423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Primary interest (from MRS §4)</w:t>
            </w:r>
          </w:p>
        </w:tc>
        <w:tc>
          <w:tcPr>
            <w:tcW w:type="dxa" w:w="11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Named contact</w:t>
            </w:r>
          </w:p>
        </w:tc>
      </w:tr>
      <w:tr>
        <w:trPr>
          <w:cantSplit/>
        </w:trPr>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Banks and regulated lenders</w:t>
            </w:r>
          </w:p>
        </w:tc>
        <w:tc>
          <w:tcPr>
            <w:tcW w:type="dxa" w:w="117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§3</w:t>
            </w:r>
          </w:p>
        </w:tc>
        <w:tc>
          <w:tcPr>
            <w:tcW w:type="dxa" w:w="42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Reproducible, traceable decisions; policy and approval rules (MRS §9)</w:t>
            </w:r>
          </w:p>
        </w:tc>
        <w:tc>
          <w:tcPr>
            <w:tcW w:type="dxa" w:w="11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Lending operations and underwriting teams</w:t>
            </w:r>
          </w:p>
        </w:tc>
        <w:tc>
          <w:tcPr>
            <w:tcW w:type="dxa" w:w="117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§3</w:t>
            </w:r>
          </w:p>
        </w:tc>
        <w:tc>
          <w:tcPr>
            <w:tcW w:type="dxa" w:w="42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Complete, validated evidence before decisioning</w:t>
            </w:r>
          </w:p>
        </w:tc>
        <w:tc>
          <w:tcPr>
            <w:tcW w:type="dxa" w:w="11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Risk and compliance teams</w:t>
            </w:r>
          </w:p>
        </w:tc>
        <w:tc>
          <w:tcPr>
            <w:tcW w:type="dxa" w:w="117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§3</w:t>
            </w:r>
          </w:p>
        </w:tc>
        <w:tc>
          <w:tcPr>
            <w:tcW w:type="dxa" w:w="42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reconstruction for review or audit</w:t>
            </w:r>
          </w:p>
        </w:tc>
        <w:tc>
          <w:tcPr>
            <w:tcW w:type="dxa" w:w="11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Field teams and instrument/evidence collection partners</w:t>
            </w:r>
          </w:p>
        </w:tc>
        <w:tc>
          <w:tcPr>
            <w:tcW w:type="dxa" w:w="117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§3</w:t>
            </w:r>
          </w:p>
        </w:tc>
        <w:tc>
          <w:tcPr>
            <w:tcW w:type="dxa" w:w="42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Capture of evidence with source, timestamp and ownership metadata</w:t>
            </w:r>
          </w:p>
        </w:tc>
        <w:tc>
          <w:tcPr>
            <w:tcW w:type="dxa" w:w="11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Operational support / exception resolution owner</w:t>
            </w:r>
          </w:p>
        </w:tc>
        <w:tc>
          <w:tcPr>
            <w:tcW w:type="dxa" w:w="117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42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Ownership is an open question</w:t>
            </w:r>
          </w:p>
        </w:tc>
        <w:tc>
          <w:tcPr>
            <w:tcW w:type="dxa" w:w="11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4.2 Mapping to Product Roles</w:t>
      </w:r>
    </w:p>
    <w:p>
      <w:pPr>
        <w:spacing w:after="120"/>
      </w:pPr>
      <w:r>
        <w:t xml:space="preserve">AURA-PRS-1.0 (PRS §2) defines five product roles: submitter / field operator; reviewer / underwriter; approver; risk or compliance auditor; system administrator. The correspondence between market segments and product roles below is derived and requires confirmation.</w:t>
      </w:r>
    </w:p>
    <w:p>
      <w:pPr>
        <w:pStyle w:val="Caption"/>
        <w:keepNext/>
        <w:jc w:val="center"/>
      </w:pPr>
      <w:r>
        <w:rPr>
          <w:b/>
          <w:bCs/>
        </w:rPr>
        <w:t xml:space="preserve">Table </w:t>
      </w:r>
      <w:r>
        <w:fldChar w:fldCharType="begin"/>
      </w:r>
      <w:r>
        <w:instrText xml:space="preserve"> SEQ Table \* ARABIC </w:instrText>
      </w:r>
      <w:r>
        <w:fldChar w:fldCharType="separate"/>
      </w:r>
      <w:r>
        <w:rPr>
          <w:b/>
          <w:bCs/>
        </w:rPr>
        <w:t>7</w:t>
      </w:r>
      <w:r>
        <w:fldChar w:fldCharType="end"/>
      </w:r>
      <w:r>
        <w:rPr>
          <w:b/>
          <w:bCs/>
        </w:rPr>
        <w:t xml:space="preserve"> — </w:t>
      </w:r>
      <w:r>
        <w:rPr>
          <w:i/>
          <w:iCs/>
        </w:rPr>
        <w:t xml:space="preserve">Market segment to product role mapping (derived)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5422"/>
      </w:tblGrid>
      <w:tr>
        <w:trPr>
          <w:cantSplit/>
          <w:tblHeader/>
        </w:trPr>
        <w:tc>
          <w:tcPr>
            <w:tcW w:type="dxa" w:w="42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Market segment</w:t>
            </w:r>
          </w:p>
        </w:tc>
        <w:tc>
          <w:tcPr>
            <w:tcW w:type="dxa" w:w="54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Product role(s) — PRS §2</w:t>
            </w:r>
          </w:p>
        </w:tc>
      </w:tr>
      <w:tr>
        <w:trPr>
          <w:cantSplit/>
        </w:trPr>
        <w:tc>
          <w:tcPr>
            <w:tcW w:type="dxa" w:w="42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Field teams and instrument/evidence collection partners</w:t>
            </w:r>
          </w:p>
        </w:tc>
        <w:tc>
          <w:tcPr>
            <w:tcW w:type="dxa" w:w="54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Submitter / field operator</w:t>
            </w:r>
          </w:p>
        </w:tc>
      </w:tr>
      <w:tr>
        <w:trPr>
          <w:cantSplit/>
        </w:trPr>
        <w:tc>
          <w:tcPr>
            <w:tcW w:type="dxa" w:w="42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Lending operations and underwriting teams</w:t>
            </w:r>
          </w:p>
        </w:tc>
        <w:tc>
          <w:tcPr>
            <w:tcW w:type="dxa" w:w="54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Reviewer / underwriter; Approver (decision authority </w:t>
            </w:r>
            <w:r>
              <w:rPr>
                <w:b/>
                <w:bCs/>
                <w:color w:val="B7791F"/>
                <w:sz w:val="18"/>
                <w:szCs w:val="18"/>
              </w:rPr>
              <w:t xml:space="preserve">TBD</w:t>
            </w:r>
            <w:r>
              <w:rPr>
                <w:b w:val="false"/>
                <w:bCs w:val="false"/>
                <w:color w:val="222222"/>
                <w:sz w:val="18"/>
                <w:szCs w:val="18"/>
              </w:rPr>
              <w:t xml:space="preserve">, PRS §6)</w:t>
            </w:r>
          </w:p>
        </w:tc>
      </w:tr>
      <w:tr>
        <w:trPr>
          <w:cantSplit/>
        </w:trPr>
        <w:tc>
          <w:tcPr>
            <w:tcW w:type="dxa" w:w="42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Risk and compliance teams</w:t>
            </w:r>
          </w:p>
        </w:tc>
        <w:tc>
          <w:tcPr>
            <w:tcW w:type="dxa" w:w="54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Risk or compliance auditor</w:t>
            </w:r>
          </w:p>
        </w:tc>
      </w:tr>
      <w:tr>
        <w:trPr>
          <w:cantSplit/>
        </w:trPr>
        <w:tc>
          <w:tcPr>
            <w:tcW w:type="dxa" w:w="42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Banks and regulated lenders</w:t>
            </w:r>
          </w:p>
        </w:tc>
        <w:tc>
          <w:tcPr>
            <w:tcW w:type="dxa" w:w="54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Buying organisation; System administrator assignment </w:t>
            </w:r>
            <w:r>
              <w:rPr>
                <w:b/>
                <w:bCs/>
                <w:color w:val="B7791F"/>
                <w:sz w:val="18"/>
                <w:szCs w:val="18"/>
              </w:rPr>
              <w:t xml:space="preserve">TBD</w:t>
            </w:r>
          </w:p>
        </w:tc>
      </w:tr>
    </w:tbl>
    <w:p>
      <w:pPr>
        <w:spacing w:after="120"/>
      </w:pPr>
    </w:p>
    <w:p>
      <w:pPr>
        <w:pStyle w:val="Heading1"/>
      </w:pPr>
      <w:r>
        <w:t xml:space="preserve">5 Market Requirements</w:t>
      </w:r>
    </w:p>
    <w:p>
      <w:pPr>
        <w:pStyle w:val="Heading2"/>
      </w:pPr>
      <w:r>
        <w:t xml:space="preserve">5.1 Conventions</w:t>
      </w:r>
    </w:p>
    <w:p>
      <w:pPr>
        <w:spacing w:after="120"/>
      </w:pPr>
      <w:r>
        <w:t xml:space="preserve">Market requirements MR-nn are stated from the user needs in MRS §4; identifiers are assigned in this document for traceability. Priority is </w:t>
      </w:r>
      <w:r>
        <w:rPr>
          <w:b/>
          <w:bCs/>
          <w:color w:val="B7791F"/>
        </w:rPr>
        <w:t xml:space="preserve">TBD</w:t>
      </w:r>
      <w:r>
        <w:t xml:space="preserve"> for all requirements because no prioritisation is given in the source. Every MR remains subject to validation in customer discovery (MRS §10).</w:t>
      </w:r>
    </w:p>
    <w:p>
      <w:pPr>
        <w:pStyle w:val="Heading2"/>
      </w:pPr>
      <w:r>
        <w:t xml:space="preserve">5.2 Market Requirements</w:t>
      </w:r>
    </w:p>
    <w:p>
      <w:pPr>
        <w:pStyle w:val="Caption"/>
        <w:keepNext/>
        <w:jc w:val="center"/>
      </w:pPr>
      <w:r>
        <w:rPr>
          <w:b/>
          <w:bCs/>
        </w:rPr>
        <w:t xml:space="preserve">Table </w:t>
      </w:r>
      <w:r>
        <w:fldChar w:fldCharType="begin"/>
      </w:r>
      <w:r>
        <w:instrText xml:space="preserve"> SEQ Table \* ARABIC </w:instrText>
      </w:r>
      <w:r>
        <w:fldChar w:fldCharType="separate"/>
      </w:r>
      <w:r>
        <w:rPr>
          <w:b/>
          <w:bCs/>
        </w:rPr>
        <w:t>8</w:t>
      </w:r>
      <w:r>
        <w:fldChar w:fldCharType="end"/>
      </w:r>
      <w:r>
        <w:rPr>
          <w:b/>
          <w:bCs/>
        </w:rPr>
        <w:t xml:space="preserve"> — </w:t>
      </w:r>
      <w:r>
        <w:rPr>
          <w:i/>
          <w:iCs/>
        </w:rPr>
        <w:t xml:space="preserve">Market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7"/>
        <w:gridCol w:w="3628"/>
        <w:gridCol w:w="1927"/>
        <w:gridCol w:w="907"/>
        <w:gridCol w:w="2269"/>
      </w:tblGrid>
      <w:tr>
        <w:trPr>
          <w:cantSplit/>
          <w:tblHeader/>
        </w:trPr>
        <w:tc>
          <w:tcPr>
            <w:tcW w:type="dxa" w:w="9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62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Market requirement (MRS §4)</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Addresses problem (derived)</w:t>
            </w:r>
          </w:p>
        </w:tc>
        <w:tc>
          <w:tcPr>
            <w:tcW w:type="dxa" w:w="9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Priority</w:t>
            </w:r>
          </w:p>
        </w:tc>
        <w:tc>
          <w:tcPr>
            <w:tcW w:type="dxa" w:w="226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Validation</w:t>
            </w:r>
          </w:p>
        </w:tc>
      </w:tr>
      <w:tr>
        <w:trPr>
          <w:cantSplit/>
        </w:trPr>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MR-01</w:t>
            </w:r>
          </w:p>
        </w:tc>
        <w:tc>
          <w:tcPr>
            <w:tcW w:type="dxa" w:w="362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Capture evidence with source, timestamp, and ownership metadata.</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MP-01</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2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workflow trials</w:t>
            </w:r>
          </w:p>
        </w:tc>
      </w:tr>
      <w:tr>
        <w:trPr>
          <w:cantSplit/>
        </w:trPr>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MR-02</w:t>
            </w:r>
          </w:p>
        </w:tc>
        <w:tc>
          <w:tcPr>
            <w:tcW w:type="dxa" w:w="362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Validate completeness and quality before decisioning.</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MP-02, MP-03</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26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workflow trials</w:t>
            </w:r>
          </w:p>
        </w:tc>
      </w:tr>
      <w:tr>
        <w:trPr>
          <w:cantSplit/>
        </w:trPr>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MR-03</w:t>
            </w:r>
          </w:p>
        </w:tc>
        <w:tc>
          <w:tcPr>
            <w:tcW w:type="dxa" w:w="362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Trace each decision to evidence and rules used.</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MP-04</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2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workflow trials</w:t>
            </w:r>
          </w:p>
        </w:tc>
      </w:tr>
      <w:tr>
        <w:trPr>
          <w:cantSplit/>
        </w:trPr>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MR-04</w:t>
            </w:r>
          </w:p>
        </w:tc>
        <w:tc>
          <w:tcPr>
            <w:tcW w:type="dxa" w:w="362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Reconstruct a decision for review or audit.</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MP-05</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26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workflow trials</w:t>
            </w:r>
          </w:p>
        </w:tc>
      </w:tr>
      <w:tr>
        <w:trPr>
          <w:cantSplit/>
        </w:trPr>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MR-05</w:t>
            </w:r>
          </w:p>
        </w:tc>
        <w:tc>
          <w:tcPr>
            <w:tcW w:type="dxa" w:w="362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Manage exceptions and approvals with role-based permissions.</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 (no explicit problem hypothesis)</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2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policy review</w:t>
            </w:r>
          </w:p>
        </w:tc>
      </w:tr>
    </w:tbl>
    <w:p>
      <w:pPr>
        <w:spacing w:after="120"/>
      </w:pPr>
    </w:p>
    <w:p>
      <w:pPr>
        <w:pStyle w:val="Heading2"/>
      </w:pPr>
      <w:r>
        <w:t xml:space="preserve">5.3 Market Requirement Rationale</w:t>
      </w:r>
    </w:p>
    <w:p>
      <w:pPr>
        <w:pStyle w:val="ListParagraph"/>
        <w:numPr>
          <w:ilvl w:val="0"/>
          <w:numId w:val="2"/>
        </w:numPr>
        <w:spacing w:after="60"/>
      </w:pPr>
      <w:r>
        <w:rPr>
          <w:b/>
          <w:bCs/>
        </w:rPr>
        <w:t xml:space="preserve">MR-01</w:t>
      </w:r>
      <w:r>
        <w:t xml:space="preserve"> underpins traceable custody (MRS §1): without source, timestamp and ownership metadata the custody chain cannot be reconstructed.</w:t>
      </w:r>
    </w:p>
    <w:p>
      <w:pPr>
        <w:pStyle w:val="ListParagraph"/>
        <w:numPr>
          <w:ilvl w:val="0"/>
          <w:numId w:val="2"/>
        </w:numPr>
        <w:spacing w:after="60"/>
      </w:pPr>
      <w:r>
        <w:rPr>
          <w:b/>
          <w:bCs/>
        </w:rPr>
        <w:t xml:space="preserve">MR-02</w:t>
      </w:r>
      <w:r>
        <w:t xml:space="preserve"> places validation before decisioning, so decisions rest on complete evidence; quality criteria are </w:t>
      </w:r>
      <w:r>
        <w:rPr>
          <w:b/>
          <w:bCs/>
          <w:color w:val="B7791F"/>
        </w:rPr>
        <w:t xml:space="preserve">TBD</w:t>
      </w:r>
      <w:r>
        <w:t xml:space="preserve"> pending bank-specific policy (MRS §9).</w:t>
      </w:r>
    </w:p>
    <w:p>
      <w:pPr>
        <w:pStyle w:val="ListParagraph"/>
        <w:numPr>
          <w:ilvl w:val="0"/>
          <w:numId w:val="2"/>
        </w:numPr>
        <w:spacing w:after="60"/>
      </w:pPr>
      <w:r>
        <w:rPr>
          <w:b/>
          <w:bCs/>
        </w:rPr>
        <w:t xml:space="preserve">MR-03</w:t>
      </w:r>
      <w:r>
        <w:t xml:space="preserve"> realises the "reproducible decisions" element of the proposition (MRS §1, §7).</w:t>
      </w:r>
    </w:p>
    <w:p>
      <w:pPr>
        <w:pStyle w:val="ListParagraph"/>
        <w:numPr>
          <w:ilvl w:val="0"/>
          <w:numId w:val="2"/>
        </w:numPr>
        <w:spacing w:after="60"/>
      </w:pPr>
      <w:r>
        <w:rPr>
          <w:b/>
          <w:bCs/>
        </w:rPr>
        <w:t xml:space="preserve">MR-04</w:t>
      </w:r>
      <w:r>
        <w:t xml:space="preserve"> supports risk and compliance review; the related metric is audit reconstruction time (MRS §8).</w:t>
      </w:r>
    </w:p>
    <w:p>
      <w:pPr>
        <w:pStyle w:val="ListParagraph"/>
        <w:numPr>
          <w:ilvl w:val="0"/>
          <w:numId w:val="2"/>
        </w:numPr>
        <w:spacing w:after="60"/>
      </w:pPr>
      <w:r>
        <w:rPr>
          <w:b/>
          <w:bCs/>
        </w:rPr>
        <w:t xml:space="preserve">MR-05</w:t>
      </w:r>
      <w:r>
        <w:t xml:space="preserve"> reflects the need for controlled exceptions and approvals; approval rules and decision authority are </w:t>
      </w:r>
      <w:r>
        <w:rPr>
          <w:b/>
          <w:bCs/>
          <w:color w:val="B7791F"/>
        </w:rPr>
        <w:t xml:space="preserve">TBD</w:t>
      </w:r>
      <w:r>
        <w:t xml:space="preserve"> (MRS §9; PRS §6).</w:t>
      </w:r>
    </w:p>
    <w:p>
      <w:pPr>
        <w:pStyle w:val="Heading1"/>
      </w:pPr>
      <w:r>
        <w:t xml:space="preserve">6 Value Proposition and Differentiation</w:t>
      </w:r>
    </w:p>
    <w:p>
      <w:pPr>
        <w:pStyle w:val="Heading2"/>
      </w:pPr>
      <w:r>
        <w:t xml:space="preserve">6.1 Value Proposition (Hypothesis)</w:t>
      </w:r>
    </w:p>
    <w:p>
      <w:pPr>
        <w:spacing w:after="120"/>
      </w:pPr>
      <w:r>
        <w:t xml:space="preserve">Reduce evidence-handling friction and improve traceability. Quantified benefits must be established through pilot baselines and measured outcomes (MRS §5). No quantified benefit is asserted in this baseline; all benefit figures are </w:t>
      </w:r>
      <w:r>
        <w:rPr>
          <w:b/>
          <w:bCs/>
          <w:color w:val="B7791F"/>
        </w:rPr>
        <w:t xml:space="preserve">TBD</w:t>
      </w:r>
      <w:r>
        <w:t xml:space="preserve">.</w:t>
      </w:r>
    </w:p>
    <w:p>
      <w:pPr>
        <w:pStyle w:val="Heading2"/>
      </w:pPr>
      <w:r>
        <w:t xml:space="preserve">6.2 Proposed Differentiation (Hypothesis)</w:t>
      </w:r>
    </w:p>
    <w:p>
      <w:pPr>
        <w:spacing w:after="120"/>
      </w:pPr>
      <w:r>
        <w:t xml:space="preserve">Instrument-backed evidence linked to reproducible decisions and traceable custody. This is a product hypothesis, not a proven moat; defensibility shall be validated through customer interviews, workflow trials, and partner feedback (MRS §7).</w:t>
      </w:r>
    </w:p>
    <w:p>
      <w:pPr>
        <w:pStyle w:val="Caption"/>
        <w:keepNext/>
        <w:jc w:val="center"/>
      </w:pPr>
      <w:r>
        <w:rPr>
          <w:b/>
          <w:bCs/>
        </w:rPr>
        <w:t xml:space="preserve">Table </w:t>
      </w:r>
      <w:r>
        <w:fldChar w:fldCharType="begin"/>
      </w:r>
      <w:r>
        <w:instrText xml:space="preserve"> SEQ Table \* ARABIC </w:instrText>
      </w:r>
      <w:r>
        <w:fldChar w:fldCharType="separate"/>
      </w:r>
      <w:r>
        <w:rPr>
          <w:b/>
          <w:bCs/>
        </w:rPr>
        <w:t>9</w:t>
      </w:r>
      <w:r>
        <w:fldChar w:fldCharType="end"/>
      </w:r>
      <w:r>
        <w:rPr>
          <w:b/>
          <w:bCs/>
        </w:rPr>
        <w:t xml:space="preserve"> — </w:t>
      </w:r>
      <w:r>
        <w:rPr>
          <w:i/>
          <w:iCs/>
        </w:rPr>
        <w:t xml:space="preserve">Differentiation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3043"/>
        <w:gridCol w:w="4058"/>
        <w:gridCol w:w="1523"/>
      </w:tblGrid>
      <w:tr>
        <w:trPr>
          <w:cantSplit/>
          <w:tblHeader/>
        </w:trPr>
        <w:tc>
          <w:tcPr>
            <w:tcW w:type="dxa" w:w="101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0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Hypothesis element</w:t>
            </w:r>
          </w:p>
        </w:tc>
        <w:tc>
          <w:tcPr>
            <w:tcW w:type="dxa" w:w="405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Validation activity (MRS §7)</w:t>
            </w:r>
          </w:p>
        </w:tc>
        <w:tc>
          <w:tcPr>
            <w:tcW w:type="dxa" w:w="152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Outcome</w:t>
            </w:r>
          </w:p>
        </w:tc>
      </w:tr>
      <w:tr>
        <w:trPr>
          <w:cantSplit/>
        </w:trPr>
        <w:tc>
          <w:tcPr>
            <w:tcW w:type="dxa" w:w="10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DH-01</w:t>
            </w:r>
          </w:p>
        </w:tc>
        <w:tc>
          <w:tcPr>
            <w:tcW w:type="dxa" w:w="30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Instrument-backed evidence</w:t>
            </w:r>
          </w:p>
        </w:tc>
        <w:tc>
          <w:tcPr>
            <w:tcW w:type="dxa" w:w="40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interviews; partner feedback</w:t>
            </w:r>
          </w:p>
        </w:tc>
        <w:tc>
          <w:tcPr>
            <w:tcW w:type="dxa" w:w="152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0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DH-02</w:t>
            </w:r>
          </w:p>
        </w:tc>
        <w:tc>
          <w:tcPr>
            <w:tcW w:type="dxa" w:w="30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Reproducible decisions</w:t>
            </w:r>
          </w:p>
        </w:tc>
        <w:tc>
          <w:tcPr>
            <w:tcW w:type="dxa" w:w="405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Workflow trials</w:t>
            </w:r>
          </w:p>
        </w:tc>
        <w:tc>
          <w:tcPr>
            <w:tcW w:type="dxa" w:w="152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10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DH-03</w:t>
            </w:r>
          </w:p>
        </w:tc>
        <w:tc>
          <w:tcPr>
            <w:tcW w:type="dxa" w:w="30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Traceable custody</w:t>
            </w:r>
          </w:p>
        </w:tc>
        <w:tc>
          <w:tcPr>
            <w:tcW w:type="dxa" w:w="405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interviews; workflow trials</w:t>
            </w:r>
          </w:p>
        </w:tc>
        <w:tc>
          <w:tcPr>
            <w:tcW w:type="dxa" w:w="152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6.3 Hypothesis Chain</w:t>
      </w:r>
    </w:p>
    <w:p>
      <w:pPr>
        <w:spacing w:after="120"/>
      </w:pPr>
      <w:r>
        <w:t xml:space="preserve">The figure below shows the derived chain from problem hypotheses to user needs, to the value hypothesis, and to the success metrics that will test it.</w:t>
      </w:r>
    </w:p>
    <w:p>
      <w:pPr>
        <w:keepNext/>
        <w:spacing w:after="60" w:before="120" w:line="240" w:lineRule="auto"/>
        <w:jc w:val="center"/>
      </w:pPr>
      <w:r>
        <w:drawing>
          <wp:inline distT="0" distB="0" distL="0" distR="0">
            <wp:extent cx="6076950" cy="2781300"/>
            <wp:effectExtent t="0" r="0" b="0" l="0"/>
            <wp:docPr id="1" name="Problem → need → value → metric hypothesis chain" descr="Problem → need → value → metric hypothesis chain" title="Problem → need → value → metric hypothesis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27813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2</w:t>
      </w:r>
      <w:r>
        <w:fldChar w:fldCharType="end"/>
      </w:r>
      <w:r>
        <w:rPr>
          <w:b/>
          <w:bCs/>
        </w:rPr>
        <w:t xml:space="preserve"> — </w:t>
      </w:r>
      <w:r>
        <w:rPr>
          <w:i/>
          <w:iCs/>
        </w:rPr>
        <w:t xml:space="preserve">Problem → need → value → metric hypothesis chain</w:t>
      </w:r>
    </w:p>
    <w:p>
      <w:pPr>
        <w:pStyle w:val="Heading1"/>
      </w:pPr>
      <w:r>
        <w:t xml:space="preserve">7 Success Measures</w:t>
      </w:r>
    </w:p>
    <w:p>
      <w:pPr>
        <w:spacing w:after="120"/>
      </w:pPr>
      <w:r>
        <w:t xml:space="preserve">The source requires the following metrics to be baselined (MRS §8). Baseline values, targets, measurement sources and owners are not provided and are </w:t>
      </w:r>
      <w:r>
        <w:rPr>
          <w:b/>
          <w:bCs/>
          <w:color w:val="B7791F"/>
        </w:rPr>
        <w:t xml:space="preserve">TBD</w:t>
      </w:r>
      <w:r>
        <w:t xml:space="preserve">; they are to be established through pilot baselines (MRS §5).</w:t>
      </w:r>
    </w:p>
    <w:p>
      <w:pPr>
        <w:pStyle w:val="Caption"/>
        <w:keepNext/>
        <w:jc w:val="center"/>
      </w:pPr>
      <w:r>
        <w:rPr>
          <w:b/>
          <w:bCs/>
        </w:rPr>
        <w:t xml:space="preserve">Table </w:t>
      </w:r>
      <w:r>
        <w:fldChar w:fldCharType="begin"/>
      </w:r>
      <w:r>
        <w:instrText xml:space="preserve"> SEQ Table \* ARABIC </w:instrText>
      </w:r>
      <w:r>
        <w:fldChar w:fldCharType="separate"/>
      </w:r>
      <w:r>
        <w:rPr>
          <w:b/>
          <w:bCs/>
        </w:rPr>
        <w:t>10</w:t>
      </w:r>
      <w:r>
        <w:fldChar w:fldCharType="end"/>
      </w:r>
      <w:r>
        <w:rPr>
          <w:b/>
          <w:bCs/>
        </w:rPr>
        <w:t xml:space="preserve"> — </w:t>
      </w:r>
      <w:r>
        <w:rPr>
          <w:i/>
          <w:iCs/>
        </w:rPr>
        <w:t xml:space="preserve">Success metrics to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1"/>
        <w:gridCol w:w="3569"/>
        <w:gridCol w:w="2022"/>
        <w:gridCol w:w="951"/>
        <w:gridCol w:w="951"/>
        <w:gridCol w:w="1194"/>
      </w:tblGrid>
      <w:tr>
        <w:trPr>
          <w:cantSplit/>
          <w:tblHeader/>
        </w:trPr>
        <w:tc>
          <w:tcPr>
            <w:tcW w:type="dxa" w:w="95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56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Metric (MRS §8)</w:t>
            </w:r>
          </w:p>
        </w:tc>
        <w:tc>
          <w:tcPr>
            <w:tcW w:type="dxa" w:w="20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Related MR (derived)</w:t>
            </w:r>
          </w:p>
        </w:tc>
        <w:tc>
          <w:tcPr>
            <w:tcW w:type="dxa" w:w="95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Baseline</w:t>
            </w:r>
          </w:p>
        </w:tc>
        <w:tc>
          <w:tcPr>
            <w:tcW w:type="dxa" w:w="95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w:t>
            </w:r>
          </w:p>
        </w:tc>
        <w:tc>
          <w:tcPr>
            <w:tcW w:type="dxa" w:w="119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Data source</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SM-01</w:t>
            </w:r>
          </w:p>
        </w:tc>
        <w:tc>
          <w:tcPr>
            <w:tcW w:type="dxa" w:w="35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completeness rate</w:t>
            </w:r>
          </w:p>
        </w:tc>
        <w:tc>
          <w:tcPr>
            <w:tcW w:type="dxa" w:w="20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MR-02</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SM-02</w:t>
            </w:r>
          </w:p>
        </w:tc>
        <w:tc>
          <w:tcPr>
            <w:tcW w:type="dxa" w:w="356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Median time from intake to decision</w:t>
            </w:r>
          </w:p>
        </w:tc>
        <w:tc>
          <w:tcPr>
            <w:tcW w:type="dxa" w:w="20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MR-02, MR-03</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SM-03</w:t>
            </w:r>
          </w:p>
        </w:tc>
        <w:tc>
          <w:tcPr>
            <w:tcW w:type="dxa" w:w="35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Exception/rework rate</w:t>
            </w:r>
          </w:p>
        </w:tc>
        <w:tc>
          <w:tcPr>
            <w:tcW w:type="dxa" w:w="20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 MR-05</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SM-04</w:t>
            </w:r>
          </w:p>
        </w:tc>
        <w:tc>
          <w:tcPr>
            <w:tcW w:type="dxa" w:w="356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Percentage of decisions with full evidence lineage</w:t>
            </w:r>
          </w:p>
        </w:tc>
        <w:tc>
          <w:tcPr>
            <w:tcW w:type="dxa" w:w="20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MR-03</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SM-05</w:t>
            </w:r>
          </w:p>
        </w:tc>
        <w:tc>
          <w:tcPr>
            <w:tcW w:type="dxa" w:w="356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 reconstruction time</w:t>
            </w:r>
          </w:p>
        </w:tc>
        <w:tc>
          <w:tcPr>
            <w:tcW w:type="dxa" w:w="20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SM-06</w:t>
            </w:r>
          </w:p>
        </w:tc>
        <w:tc>
          <w:tcPr>
            <w:tcW w:type="dxa" w:w="356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User adoption and task completion rate</w:t>
            </w:r>
          </w:p>
        </w:tc>
        <w:tc>
          <w:tcPr>
            <w:tcW w:type="dxa" w:w="20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 MR-05</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19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1"/>
      </w:pPr>
      <w:r>
        <w:t xml:space="preserve">8 Constraints, Assumptions and Open Questions</w:t>
      </w:r>
    </w:p>
    <w:p>
      <w:pPr>
        <w:pStyle w:val="Heading2"/>
      </w:pPr>
      <w:r>
        <w:t xml:space="preserve">8.1 Constraints</w:t>
      </w:r>
    </w:p>
    <w:p>
      <w:pPr>
        <w:pStyle w:val="Caption"/>
        <w:keepNext/>
        <w:jc w:val="center"/>
      </w:pPr>
      <w:r>
        <w:rPr>
          <w:b/>
          <w:bCs/>
        </w:rPr>
        <w:t xml:space="preserve">Table </w:t>
      </w:r>
      <w:r>
        <w:fldChar w:fldCharType="begin"/>
      </w:r>
      <w:r>
        <w:instrText xml:space="preserve"> SEQ Table \* ARABIC </w:instrText>
      </w:r>
      <w:r>
        <w:fldChar w:fldCharType="separate"/>
      </w:r>
      <w:r>
        <w:rPr>
          <w:b/>
          <w:bCs/>
        </w:rPr>
        <w:t>11</w:t>
      </w:r>
      <w:r>
        <w:fldChar w:fldCharType="end"/>
      </w:r>
      <w:r>
        <w:rPr>
          <w:b/>
          <w:bCs/>
        </w:rPr>
        <w:t xml:space="preserve"> — </w:t>
      </w:r>
      <w:r>
        <w:rPr>
          <w:i/>
          <w:iCs/>
        </w:rPr>
        <w:t xml:space="preserve">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7067"/>
        <w:gridCol w:w="1543"/>
      </w:tblGrid>
      <w:tr>
        <w:trPr>
          <w:cantSplit/>
          <w:tblHeader/>
        </w:trPr>
        <w:tc>
          <w:tcPr>
            <w:tcW w:type="dxa" w:w="102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706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Constraint</w:t>
            </w:r>
          </w:p>
        </w:tc>
        <w:tc>
          <w:tcPr>
            <w:tcW w:type="dxa" w:w="15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r>
      <w:tr>
        <w:trPr>
          <w:cantSplit/>
        </w:trPr>
        <w:tc>
          <w:tcPr>
            <w:tcW w:type="dxa" w:w="102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CN-01</w:t>
            </w:r>
          </w:p>
        </w:tc>
        <w:tc>
          <w:tcPr>
            <w:tcW w:type="dxa" w:w="706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 not freeze commercial scope until customer discovery, policy review and technical feasibility checks are complete.</w:t>
            </w:r>
          </w:p>
        </w:tc>
        <w:tc>
          <w:tcPr>
            <w:tcW w:type="dxa" w:w="15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r>
      <w:tr>
        <w:trPr>
          <w:cantSplit/>
        </w:trPr>
        <w:tc>
          <w:tcPr>
            <w:tcW w:type="dxa" w:w="102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CN-02</w:t>
            </w:r>
          </w:p>
        </w:tc>
        <w:tc>
          <w:tcPr>
            <w:tcW w:type="dxa" w:w="706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 not make compliance claims until customer discovery, policy review and technical feasibility checks are complete.</w:t>
            </w:r>
          </w:p>
        </w:tc>
        <w:tc>
          <w:tcPr>
            <w:tcW w:type="dxa" w:w="15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r>
      <w:tr>
        <w:trPr>
          <w:cantSplit/>
        </w:trPr>
        <w:tc>
          <w:tcPr>
            <w:tcW w:type="dxa" w:w="102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CN-03</w:t>
            </w:r>
          </w:p>
        </w:tc>
        <w:tc>
          <w:tcPr>
            <w:tcW w:type="dxa" w:w="706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Conduct a source-backed competitor review before external circulation.</w:t>
            </w:r>
          </w:p>
        </w:tc>
        <w:tc>
          <w:tcPr>
            <w:tcW w:type="dxa" w:w="15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§6</w:t>
            </w:r>
          </w:p>
        </w:tc>
      </w:tr>
      <w:tr>
        <w:trPr>
          <w:cantSplit/>
        </w:trPr>
        <w:tc>
          <w:tcPr>
            <w:tcW w:type="dxa" w:w="102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CN-04</w:t>
            </w:r>
          </w:p>
        </w:tc>
        <w:tc>
          <w:tcPr>
            <w:tcW w:type="dxa" w:w="706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Quantified benefits must be established through pilot baselines and measured outcomes.</w:t>
            </w:r>
          </w:p>
        </w:tc>
        <w:tc>
          <w:tcPr>
            <w:tcW w:type="dxa" w:w="15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§5</w:t>
            </w:r>
          </w:p>
        </w:tc>
      </w:tr>
    </w:tbl>
    <w:p>
      <w:pPr>
        <w:spacing w:after="120"/>
      </w:pPr>
    </w:p>
    <w:p>
      <w:pPr>
        <w:pStyle w:val="Heading2"/>
      </w:pPr>
      <w:r>
        <w:t xml:space="preserve">8.2 Assumptions and Open Questions</w:t>
      </w:r>
    </w:p>
    <w:p>
      <w:pPr>
        <w:spacing w:after="120"/>
      </w:pPr>
      <w:r>
        <w:t xml:space="preserve">The source records the following open questions (MRS §9). Each is unresolved and is carried as a </w:t>
      </w:r>
      <w:r>
        <w:rPr>
          <w:b/>
          <w:bCs/>
          <w:color w:val="B7791F"/>
        </w:rPr>
        <w:t xml:space="preserve">TBD</w:t>
      </w:r>
      <w:r>
        <w:t xml:space="preserve"> dependency into the PRS and HLD.</w:t>
      </w:r>
    </w:p>
    <w:p>
      <w:pPr>
        <w:pStyle w:val="Caption"/>
        <w:keepNext/>
        <w:jc w:val="center"/>
      </w:pPr>
      <w:r>
        <w:rPr>
          <w:b/>
          <w:bCs/>
        </w:rPr>
        <w:t xml:space="preserve">Table </w:t>
      </w:r>
      <w:r>
        <w:fldChar w:fldCharType="begin"/>
      </w:r>
      <w:r>
        <w:instrText xml:space="preserve"> SEQ Table \* ARABIC </w:instrText>
      </w:r>
      <w:r>
        <w:fldChar w:fldCharType="separate"/>
      </w:r>
      <w:r>
        <w:rPr>
          <w:b/>
          <w:bCs/>
        </w:rPr>
        <w:t>12</w:t>
      </w:r>
      <w:r>
        <w:fldChar w:fldCharType="end"/>
      </w:r>
      <w:r>
        <w:rPr>
          <w:b/>
          <w:bCs/>
        </w:rPr>
        <w:t xml:space="preserve"> — </w:t>
      </w:r>
      <w:r>
        <w:rPr>
          <w:i/>
          <w:iCs/>
        </w:rPr>
        <w:t xml:space="preserve">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3761"/>
        <w:gridCol w:w="3055"/>
        <w:gridCol w:w="822"/>
        <w:gridCol w:w="1060"/>
      </w:tblGrid>
      <w:tr>
        <w:trPr>
          <w:cantSplit/>
          <w:tblHeader/>
        </w:trPr>
        <w:tc>
          <w:tcPr>
            <w:tcW w:type="dxa" w:w="94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76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Open question (MRS §9)</w:t>
            </w:r>
          </w:p>
        </w:tc>
        <w:tc>
          <w:tcPr>
            <w:tcW w:type="dxa" w:w="305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Impacts (derived)</w:t>
            </w:r>
          </w:p>
        </w:tc>
        <w:tc>
          <w:tcPr>
            <w:tcW w:type="dxa" w:w="8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Owner</w:t>
            </w:r>
          </w:p>
        </w:tc>
        <w:tc>
          <w:tcPr>
            <w:tcW w:type="dxa" w:w="106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Resolution</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OQ-01</w:t>
            </w:r>
          </w:p>
        </w:tc>
        <w:tc>
          <w:tcPr>
            <w:tcW w:type="dxa" w:w="37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Which lending product and jurisdiction are in scope?</w:t>
            </w:r>
          </w:p>
        </w:tc>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Scope; privacy NFR; data residency</w:t>
            </w:r>
          </w:p>
        </w:tc>
        <w:tc>
          <w:tcPr>
            <w:tcW w:type="dxa" w:w="8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OQ-02</w:t>
            </w:r>
          </w:p>
        </w:tc>
        <w:tc>
          <w:tcPr>
            <w:tcW w:type="dxa" w:w="37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Which instruments/devices and evidence formats are supported?</w:t>
            </w:r>
          </w:p>
        </w:tc>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 PR-01 supported evidence types</w:t>
            </w:r>
          </w:p>
        </w:tc>
        <w:tc>
          <w:tcPr>
            <w:tcW w:type="dxa" w:w="8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OQ-03</w:t>
            </w:r>
          </w:p>
        </w:tc>
        <w:tc>
          <w:tcPr>
            <w:tcW w:type="dxa" w:w="37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Which bank policies and approval rules apply?</w:t>
            </w:r>
          </w:p>
        </w:tc>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 MR-05; PR-03 rules; decision authority</w:t>
            </w:r>
          </w:p>
        </w:tc>
        <w:tc>
          <w:tcPr>
            <w:tcW w:type="dxa" w:w="8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OQ-04</w:t>
            </w:r>
          </w:p>
        </w:tc>
        <w:tc>
          <w:tcPr>
            <w:tcW w:type="dxa" w:w="37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What data retention, residency, and consent rules apply?</w:t>
            </w:r>
          </w:p>
        </w:tc>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Privacy NFR; HLD retention policy</w:t>
            </w:r>
          </w:p>
        </w:tc>
        <w:tc>
          <w:tcPr>
            <w:tcW w:type="dxa" w:w="8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OQ-05</w:t>
            </w:r>
          </w:p>
        </w:tc>
        <w:tc>
          <w:tcPr>
            <w:tcW w:type="dxa" w:w="37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What existing LOS/LMS/core systems must integrate?</w:t>
            </w:r>
          </w:p>
        </w:tc>
        <w:tc>
          <w:tcPr>
            <w:tcW w:type="dxa" w:w="305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 HLD integration adapters</w:t>
            </w:r>
          </w:p>
        </w:tc>
        <w:tc>
          <w:tcPr>
            <w:tcW w:type="dxa" w:w="8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4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OQ-06</w:t>
            </w:r>
          </w:p>
        </w:tc>
        <w:tc>
          <w:tcPr>
            <w:tcW w:type="dxa" w:w="37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Who owns operational support and exception resolution?</w:t>
            </w:r>
          </w:p>
        </w:tc>
        <w:tc>
          <w:tcPr>
            <w:tcW w:type="dxa" w:w="305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 PR-08; PR-12</w:t>
            </w:r>
          </w:p>
        </w:tc>
        <w:tc>
          <w:tcPr>
            <w:tcW w:type="dxa" w:w="8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6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8.3 Dependencies</w:t>
      </w:r>
    </w:p>
    <w:p>
      <w:pPr>
        <w:pStyle w:val="ListParagraph"/>
        <w:numPr>
          <w:ilvl w:val="0"/>
          <w:numId w:val="2"/>
        </w:numPr>
        <w:spacing w:after="60"/>
      </w:pPr>
      <w:r>
        <w:t xml:space="preserve">Access to target banks and users for customer discovery and workflow trials (MRS §2, §7).</w:t>
      </w:r>
    </w:p>
    <w:p>
      <w:pPr>
        <w:pStyle w:val="ListParagraph"/>
        <w:numPr>
          <w:ilvl w:val="0"/>
          <w:numId w:val="2"/>
        </w:numPr>
        <w:spacing w:after="60"/>
      </w:pPr>
      <w:r>
        <w:t xml:space="preserve">Policy review input from bank stakeholders (MRS §10).</w:t>
      </w:r>
    </w:p>
    <w:p>
      <w:pPr>
        <w:pStyle w:val="ListParagraph"/>
        <w:numPr>
          <w:ilvl w:val="0"/>
          <w:numId w:val="2"/>
        </w:numPr>
        <w:spacing w:after="60"/>
      </w:pPr>
      <w:r>
        <w:t xml:space="preserve">Technical feasibility checks (MRS §10), informed by the pending architecture decisions in AURA-HLD-1.0 (HLD §9).</w:t>
      </w:r>
    </w:p>
    <w:p>
      <w:pPr>
        <w:pStyle w:val="ListParagraph"/>
        <w:numPr>
          <w:ilvl w:val="0"/>
          <w:numId w:val="2"/>
        </w:numPr>
        <w:spacing w:after="60"/>
      </w:pPr>
      <w:r>
        <w:t xml:space="preserve">Partner feedback from instrument/evidence collection partners (MRS §3, §7).</w:t>
      </w:r>
    </w:p>
    <w:p>
      <w:pPr>
        <w:pStyle w:val="Heading1"/>
      </w:pPr>
      <w:r>
        <w:t xml:space="preserve">9 Market and Delivery Risks</w:t>
      </w:r>
    </w:p>
    <w:p>
      <w:pPr>
        <w:spacing w:after="120"/>
      </w:pPr>
      <w:r>
        <w:t xml:space="preserve">The source does not include a dedicated market risk register. The risks below are restated from explicit source statements; likelihood, impact and owner are </w:t>
      </w:r>
      <w:r>
        <w:rPr>
          <w:b/>
          <w:bCs/>
          <w:color w:val="B7791F"/>
        </w:rPr>
        <w:t xml:space="preserve">TBD</w:t>
      </w:r>
      <w:r>
        <w:t xml:space="preserve">.</w:t>
      </w:r>
    </w:p>
    <w:p>
      <w:pPr>
        <w:pStyle w:val="Caption"/>
        <w:keepNext/>
        <w:jc w:val="center"/>
      </w:pPr>
      <w:r>
        <w:rPr>
          <w:b/>
          <w:bCs/>
        </w:rPr>
        <w:t xml:space="preserve">Table </w:t>
      </w:r>
      <w:r>
        <w:fldChar w:fldCharType="begin"/>
      </w:r>
      <w:r>
        <w:instrText xml:space="preserve"> SEQ Table \* ARABIC </w:instrText>
      </w:r>
      <w:r>
        <w:fldChar w:fldCharType="separate"/>
      </w:r>
      <w:r>
        <w:rPr>
          <w:b/>
          <w:bCs/>
        </w:rPr>
        <w:t>13</w:t>
      </w:r>
      <w:r>
        <w:fldChar w:fldCharType="end"/>
      </w:r>
      <w:r>
        <w:rPr>
          <w:b/>
          <w:bCs/>
        </w:rPr>
        <w:t xml:space="preserve"> — </w:t>
      </w:r>
      <w:r>
        <w:rPr>
          <w:i/>
          <w:iCs/>
        </w:rPr>
        <w:t xml:space="preserve">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3"/>
        <w:gridCol w:w="3401"/>
        <w:gridCol w:w="907"/>
        <w:gridCol w:w="1020"/>
        <w:gridCol w:w="907"/>
        <w:gridCol w:w="2610"/>
      </w:tblGrid>
      <w:tr>
        <w:trPr>
          <w:cantSplit/>
          <w:tblHeader/>
        </w:trPr>
        <w:tc>
          <w:tcPr>
            <w:tcW w:type="dxa" w:w="79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40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Risk (source statement)</w:t>
            </w:r>
          </w:p>
        </w:tc>
        <w:tc>
          <w:tcPr>
            <w:tcW w:type="dxa" w:w="9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102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Likelihood</w:t>
            </w:r>
          </w:p>
        </w:tc>
        <w:tc>
          <w:tcPr>
            <w:tcW w:type="dxa" w:w="9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Impact</w:t>
            </w:r>
          </w:p>
        </w:tc>
        <w:tc>
          <w:tcPr>
            <w:tcW w:type="dxa" w:w="261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Response</w:t>
            </w:r>
          </w:p>
        </w:tc>
      </w:tr>
      <w:tr>
        <w:trPr>
          <w:cantSplit/>
        </w:trPr>
        <w:tc>
          <w:tcPr>
            <w:tcW w:type="dxa" w:w="7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RK-01</w:t>
            </w:r>
          </w:p>
        </w:tc>
        <w:tc>
          <w:tcPr>
            <w:tcW w:type="dxa" w:w="34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Problem hypotheses are not confirmed by target banks and users.</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§2</w:t>
            </w:r>
          </w:p>
        </w:tc>
        <w:tc>
          <w:tcPr>
            <w:tcW w:type="dxa" w:w="10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(MRS §10)</w:t>
            </w:r>
          </w:p>
        </w:tc>
      </w:tr>
      <w:tr>
        <w:trPr>
          <w:cantSplit/>
        </w:trPr>
        <w:tc>
          <w:tcPr>
            <w:tcW w:type="dxa" w:w="7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RK-02</w:t>
            </w:r>
          </w:p>
        </w:tc>
        <w:tc>
          <w:tcPr>
            <w:tcW w:type="dxa" w:w="34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Differentiation is a hypothesis, not a proven moat.</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§7</w:t>
            </w:r>
          </w:p>
        </w:tc>
        <w:tc>
          <w:tcPr>
            <w:tcW w:type="dxa" w:w="10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Interviews, workflow trials, partner feedback</w:t>
            </w:r>
          </w:p>
        </w:tc>
      </w:tr>
      <w:tr>
        <w:trPr>
          <w:cantSplit/>
        </w:trPr>
        <w:tc>
          <w:tcPr>
            <w:tcW w:type="dxa" w:w="7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RK-03</w:t>
            </w:r>
          </w:p>
        </w:tc>
        <w:tc>
          <w:tcPr>
            <w:tcW w:type="dxa" w:w="34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Competitive claims are not independently validated.</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§6</w:t>
            </w:r>
          </w:p>
        </w:tc>
        <w:tc>
          <w:tcPr>
            <w:tcW w:type="dxa" w:w="10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Source-backed competitor review</w:t>
            </w:r>
          </w:p>
        </w:tc>
      </w:tr>
      <w:tr>
        <w:trPr>
          <w:cantSplit/>
        </w:trPr>
        <w:tc>
          <w:tcPr>
            <w:tcW w:type="dxa" w:w="7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RK-04</w:t>
            </w:r>
          </w:p>
        </w:tc>
        <w:tc>
          <w:tcPr>
            <w:tcW w:type="dxa" w:w="34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Unconfirmed bank policies and unvalidated decision rules.</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§8</w:t>
            </w:r>
          </w:p>
        </w:tc>
        <w:tc>
          <w:tcPr>
            <w:tcW w:type="dxa" w:w="10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Policy review (MRS §10)</w:t>
            </w:r>
          </w:p>
        </w:tc>
      </w:tr>
      <w:tr>
        <w:trPr>
          <w:cantSplit/>
        </w:trPr>
        <w:tc>
          <w:tcPr>
            <w:tcW w:type="dxa" w:w="7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RK-05</w:t>
            </w:r>
          </w:p>
        </w:tc>
        <w:tc>
          <w:tcPr>
            <w:tcW w:type="dxa" w:w="34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Unknown evidence formats.</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§8</w:t>
            </w:r>
          </w:p>
        </w:tc>
        <w:tc>
          <w:tcPr>
            <w:tcW w:type="dxa" w:w="10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Resolve OQ-02</w:t>
            </w:r>
          </w:p>
        </w:tc>
      </w:tr>
      <w:tr>
        <w:trPr>
          <w:cantSplit/>
        </w:trPr>
        <w:tc>
          <w:tcPr>
            <w:tcW w:type="dxa" w:w="79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RK-06</w:t>
            </w:r>
          </w:p>
        </w:tc>
        <w:tc>
          <w:tcPr>
            <w:tcW w:type="dxa" w:w="34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Unclear data residency.</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§8</w:t>
            </w:r>
          </w:p>
        </w:tc>
        <w:tc>
          <w:tcPr>
            <w:tcW w:type="dxa" w:w="102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Resolve OQ-04</w:t>
            </w:r>
          </w:p>
        </w:tc>
      </w:tr>
      <w:tr>
        <w:trPr>
          <w:cantSplit/>
        </w:trPr>
        <w:tc>
          <w:tcPr>
            <w:tcW w:type="dxa" w:w="79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RK-07</w:t>
            </w:r>
          </w:p>
        </w:tc>
        <w:tc>
          <w:tcPr>
            <w:tcW w:type="dxa" w:w="34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variability.</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§8</w:t>
            </w:r>
          </w:p>
        </w:tc>
        <w:tc>
          <w:tcPr>
            <w:tcW w:type="dxa" w:w="102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9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61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Resolve OQ-05; adapter approach (HLD §6)</w:t>
            </w:r>
          </w:p>
        </w:tc>
      </w:tr>
    </w:tbl>
    <w:p>
      <w:pPr>
        <w:spacing w:after="120"/>
      </w:pPr>
    </w:p>
    <w:p>
      <w:pPr>
        <w:pStyle w:val="Heading1"/>
      </w:pPr>
      <w:r>
        <w:t xml:space="preserve">10 Discovery Gate</w:t>
      </w:r>
    </w:p>
    <w:p>
      <w:pPr>
        <w:spacing w:after="120"/>
      </w:pPr>
      <w:r>
        <w:t xml:space="preserve">Commercial scope shall not be frozen and compliance claims shall not be made until customer discovery, policy review and technical feasibility checks are complete (MRS §10). The competitor review is a separate precondition for external circulation (MRS §6).</w:t>
      </w:r>
    </w:p>
    <w:p>
      <w:pPr>
        <w:keepNext/>
        <w:spacing w:after="60" w:before="120" w:line="240" w:lineRule="auto"/>
        <w:jc w:val="center"/>
      </w:pPr>
      <w:r>
        <w:drawing>
          <wp:inline distT="0" distB="0" distL="0" distR="0">
            <wp:extent cx="6076950" cy="2857500"/>
            <wp:effectExtent t="0" r="0" b="0" l="0"/>
            <wp:docPr id="1" name="Discovery gate — preconditions for scope freeze and claims" descr="Discovery gate — preconditions for scope freeze and claims" title="Discovery gate — preconditions for scope freeze and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8575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3</w:t>
      </w:r>
      <w:r>
        <w:fldChar w:fldCharType="end"/>
      </w:r>
      <w:r>
        <w:rPr>
          <w:b/>
          <w:bCs/>
        </w:rPr>
        <w:t xml:space="preserve"> — </w:t>
      </w:r>
      <w:r>
        <w:rPr>
          <w:i/>
          <w:iCs/>
        </w:rPr>
        <w:t xml:space="preserve">Discovery gate — preconditions for scope freeze and claims</w:t>
      </w:r>
    </w:p>
    <w:p>
      <w:pPr>
        <w:pStyle w:val="Caption"/>
        <w:keepNext/>
        <w:jc w:val="center"/>
      </w:pPr>
      <w:r>
        <w:rPr>
          <w:b/>
          <w:bCs/>
        </w:rPr>
        <w:t xml:space="preserve">Table </w:t>
      </w:r>
      <w:r>
        <w:fldChar w:fldCharType="begin"/>
      </w:r>
      <w:r>
        <w:instrText xml:space="preserve"> SEQ Table \* ARABIC </w:instrText>
      </w:r>
      <w:r>
        <w:fldChar w:fldCharType="separate"/>
      </w:r>
      <w:r>
        <w:rPr>
          <w:b/>
          <w:bCs/>
        </w:rPr>
        <w:t>14</w:t>
      </w:r>
      <w:r>
        <w:fldChar w:fldCharType="end"/>
      </w:r>
      <w:r>
        <w:rPr>
          <w:b/>
          <w:bCs/>
        </w:rPr>
        <w:t xml:space="preserve"> — </w:t>
      </w:r>
      <w:r>
        <w:rPr>
          <w:i/>
          <w:iCs/>
        </w:rPr>
        <w:t xml:space="preserve">Gate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4565"/>
        <w:gridCol w:w="1268"/>
        <w:gridCol w:w="1775"/>
        <w:gridCol w:w="1016"/>
      </w:tblGrid>
      <w:tr>
        <w:trPr>
          <w:cantSplit/>
          <w:tblHeader/>
        </w:trPr>
        <w:tc>
          <w:tcPr>
            <w:tcW w:type="dxa" w:w="101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5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Gate criterion</w:t>
            </w:r>
          </w:p>
        </w:tc>
        <w:tc>
          <w:tcPr>
            <w:tcW w:type="dxa" w:w="126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177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Exit evidence</w:t>
            </w:r>
          </w:p>
        </w:tc>
        <w:tc>
          <w:tcPr>
            <w:tcW w:type="dxa" w:w="10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10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GC-01</w:t>
            </w:r>
          </w:p>
        </w:tc>
        <w:tc>
          <w:tcPr>
            <w:tcW w:type="dxa" w:w="45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Customer discovery complete</w:t>
            </w:r>
          </w:p>
        </w:tc>
        <w:tc>
          <w:tcPr>
            <w:tcW w:type="dxa" w:w="126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c>
          <w:tcPr>
            <w:tcW w:type="dxa" w:w="177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10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GC-02</w:t>
            </w:r>
          </w:p>
        </w:tc>
        <w:tc>
          <w:tcPr>
            <w:tcW w:type="dxa" w:w="45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Policy review complete</w:t>
            </w:r>
          </w:p>
        </w:tc>
        <w:tc>
          <w:tcPr>
            <w:tcW w:type="dxa" w:w="126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c>
          <w:tcPr>
            <w:tcW w:type="dxa" w:w="177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10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GC-03</w:t>
            </w:r>
          </w:p>
        </w:tc>
        <w:tc>
          <w:tcPr>
            <w:tcW w:type="dxa" w:w="45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Technical feasibility checks complete</w:t>
            </w:r>
          </w:p>
        </w:tc>
        <w:tc>
          <w:tcPr>
            <w:tcW w:type="dxa" w:w="126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§10</w:t>
            </w:r>
          </w:p>
        </w:tc>
        <w:tc>
          <w:tcPr>
            <w:tcW w:type="dxa" w:w="177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10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GC-04</w:t>
            </w:r>
          </w:p>
        </w:tc>
        <w:tc>
          <w:tcPr>
            <w:tcW w:type="dxa" w:w="45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Source-backed competitor review complete (before external circulation)</w:t>
            </w:r>
          </w:p>
        </w:tc>
        <w:tc>
          <w:tcPr>
            <w:tcW w:type="dxa" w:w="126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§6</w:t>
            </w:r>
          </w:p>
        </w:tc>
        <w:tc>
          <w:tcPr>
            <w:tcW w:type="dxa" w:w="177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0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bl>
    <w:p>
      <w:pPr>
        <w:spacing w:after="120"/>
      </w:pPr>
    </w:p>
    <w:p>
      <w:pPr>
        <w:pStyle w:val="Heading1"/>
      </w:pPr>
      <w:r>
        <w:t xml:space="preserve">11 Traceability</w:t>
      </w:r>
    </w:p>
    <w:p>
      <w:pPr>
        <w:pStyle w:val="Heading2"/>
      </w:pPr>
      <w:r>
        <w:t xml:space="preserve">11.1 Market Requirement to Product Requirement</w:t>
      </w:r>
    </w:p>
    <w:p>
      <w:pPr>
        <w:spacing w:after="120"/>
      </w:pPr>
      <w:r>
        <w:t xml:space="preserve">Downward trace links below are derived by the architect from the content of MRS §4 and PRS §3 and are mirrored in AURA-PRS-1.0 Section 9.</w:t>
      </w:r>
    </w:p>
    <w:p>
      <w:pPr>
        <w:pStyle w:val="Caption"/>
        <w:keepNext/>
        <w:jc w:val="center"/>
      </w:pPr>
      <w:r>
        <w:rPr>
          <w:b/>
          <w:bCs/>
        </w:rPr>
        <w:t xml:space="preserve">Table </w:t>
      </w:r>
      <w:r>
        <w:fldChar w:fldCharType="begin"/>
      </w:r>
      <w:r>
        <w:instrText xml:space="preserve"> SEQ Table \* ARABIC </w:instrText>
      </w:r>
      <w:r>
        <w:fldChar w:fldCharType="separate"/>
      </w:r>
      <w:r>
        <w:rPr>
          <w:b/>
          <w:bCs/>
        </w:rPr>
        <w:t>15</w:t>
      </w:r>
      <w:r>
        <w:fldChar w:fldCharType="end"/>
      </w:r>
      <w:r>
        <w:rPr>
          <w:b/>
          <w:bCs/>
        </w:rPr>
        <w:t xml:space="preserve"> — </w:t>
      </w:r>
      <w:r>
        <w:rPr>
          <w:i/>
          <w:iCs/>
        </w:rPr>
        <w:t xml:space="preserve">MR → PR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337"/>
        <w:gridCol w:w="4338"/>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MR</w:t>
            </w:r>
          </w:p>
        </w:tc>
        <w:tc>
          <w:tcPr>
            <w:tcW w:type="dxa" w:w="433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Market requirement</w:t>
            </w:r>
          </w:p>
        </w:tc>
        <w:tc>
          <w:tcPr>
            <w:tcW w:type="dxa" w:w="4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Product requirements (PRS §3)</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MR-01</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Capture evidence with source, timestamp, and ownership metadata</w:t>
            </w:r>
          </w:p>
        </w:tc>
        <w:tc>
          <w:tcPr>
            <w:tcW w:type="dxa" w:w="4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Evidence intake; PR-02 Metadata capture</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MR-02</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Validate completeness and quality before decisioning</w:t>
            </w:r>
          </w:p>
        </w:tc>
        <w:tc>
          <w:tcPr>
            <w:tcW w:type="dxa" w:w="4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 Completeness checks; PR-04 Validation status</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MR-03</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Trace each decision to evidence and rules used</w:t>
            </w:r>
          </w:p>
        </w:tc>
        <w:tc>
          <w:tcPr>
            <w:tcW w:type="dxa" w:w="4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 Decision record</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MR-04</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Reconstruct a decision for review or audit</w:t>
            </w:r>
          </w:p>
        </w:tc>
        <w:tc>
          <w:tcPr>
            <w:tcW w:type="dxa" w:w="4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Audit history; PR-09 Search and retrieval; PR-10 Export</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MR-05</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Manage exceptions and approvals with role-based permissions</w:t>
            </w:r>
          </w:p>
        </w:tc>
        <w:tc>
          <w:tcPr>
            <w:tcW w:type="dxa" w:w="4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 Role-based access; PR-08 Exception handling</w:t>
            </w:r>
          </w:p>
        </w:tc>
      </w:tr>
    </w:tbl>
    <w:p>
      <w:pPr>
        <w:spacing w:after="120"/>
      </w:pPr>
    </w:p>
    <w:p>
      <w:pPr>
        <w:pStyle w:val="Heading2"/>
      </w:pPr>
      <w:r>
        <w:t xml:space="preserve">11.2 Product Requirement to Market Requirement (Reverse)</w:t>
      </w:r>
    </w:p>
    <w:p>
      <w:pPr>
        <w:pStyle w:val="Caption"/>
        <w:keepNext/>
        <w:jc w:val="center"/>
      </w:pPr>
      <w:r>
        <w:rPr>
          <w:b/>
          <w:bCs/>
        </w:rPr>
        <w:t xml:space="preserve">Table </w:t>
      </w:r>
      <w:r>
        <w:fldChar w:fldCharType="begin"/>
      </w:r>
      <w:r>
        <w:instrText xml:space="preserve"> SEQ Table \* ARABIC </w:instrText>
      </w:r>
      <w:r>
        <w:fldChar w:fldCharType="separate"/>
      </w:r>
      <w:r>
        <w:rPr>
          <w:b/>
          <w:bCs/>
        </w:rPr>
        <w:t>16</w:t>
      </w:r>
      <w:r>
        <w:fldChar w:fldCharType="end"/>
      </w:r>
      <w:r>
        <w:rPr>
          <w:b/>
          <w:bCs/>
        </w:rPr>
        <w:t xml:space="preserve"> — </w:t>
      </w:r>
      <w:r>
        <w:rPr>
          <w:i/>
          <w:iCs/>
        </w:rPr>
        <w:t xml:space="preserve">PR → MR reverse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1325"/>
        <w:gridCol w:w="4459"/>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w:t>
            </w:r>
          </w:p>
        </w:tc>
        <w:tc>
          <w:tcPr>
            <w:tcW w:type="dxa" w:w="289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Product requirement</w:t>
            </w:r>
          </w:p>
        </w:tc>
        <w:tc>
          <w:tcPr>
            <w:tcW w:type="dxa" w:w="132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Traces to</w:t>
            </w:r>
          </w:p>
        </w:tc>
        <w:tc>
          <w:tcPr>
            <w:tcW w:type="dxa" w:w="44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Note</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PR-01</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intake</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PR-02</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Metadata capture</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PR-03</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Completeness checks</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PR-04</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 status</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PR-05</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record</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MR-03</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PR-06</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 history</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PR-07</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Role-based access</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PR-08</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handling</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PR-09</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Search and retrieval</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PR-10</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Export</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MR-04</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PR-11</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boundary</w:t>
            </w:r>
          </w:p>
        </w:tc>
        <w:tc>
          <w:tcPr>
            <w:tcW w:type="dxa" w:w="132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OQ-05</w:t>
            </w:r>
          </w:p>
        </w:tc>
        <w:tc>
          <w:tcPr>
            <w:tcW w:type="dxa" w:w="4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MRS user need; traces to open question on LOS/LMS/core integration (MRS §9).</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PR-12</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Operational observability</w:t>
            </w:r>
          </w:p>
        </w:tc>
        <w:tc>
          <w:tcPr>
            <w:tcW w:type="dxa" w:w="132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OQ-06</w:t>
            </w:r>
          </w:p>
        </w:tc>
        <w:tc>
          <w:tcPr>
            <w:tcW w:type="dxa" w:w="4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MRS user need; relates to operational support ownership (MRS §9). Upward trace </w:t>
            </w:r>
            <w:r>
              <w:rPr>
                <w:b/>
                <w:bCs/>
                <w:color w:val="B7791F"/>
                <w:sz w:val="18"/>
                <w:szCs w:val="18"/>
              </w:rPr>
              <w:t xml:space="preserve">TBC</w:t>
            </w:r>
            <w:r>
              <w:rPr>
                <w:b w:val="false"/>
                <w:bCs w:val="false"/>
                <w:color w:val="222222"/>
                <w:sz w:val="18"/>
                <w:szCs w:val="18"/>
              </w:rPr>
              <w:t xml:space="preserve">.</w:t>
            </w:r>
          </w:p>
        </w:tc>
      </w:tr>
    </w:tbl>
    <w:p>
      <w:pPr>
        <w:spacing w:after="120"/>
      </w:pPr>
    </w:p>
    <w:p>
      <w:pPr>
        <w:pStyle w:val="Heading2"/>
      </w:pPr>
      <w:r>
        <w:t xml:space="preserve">11.3 Market Requirement to Success Metric</w:t>
      </w:r>
    </w:p>
    <w:p>
      <w:pPr>
        <w:pStyle w:val="Caption"/>
        <w:keepNext/>
        <w:jc w:val="center"/>
      </w:pPr>
      <w:r>
        <w:rPr>
          <w:b/>
          <w:bCs/>
        </w:rPr>
        <w:t xml:space="preserve">Table </w:t>
      </w:r>
      <w:r>
        <w:fldChar w:fldCharType="begin"/>
      </w:r>
      <w:r>
        <w:instrText xml:space="preserve"> SEQ Table \* ARABIC </w:instrText>
      </w:r>
      <w:r>
        <w:fldChar w:fldCharType="separate"/>
      </w:r>
      <w:r>
        <w:rPr>
          <w:b/>
          <w:bCs/>
        </w:rPr>
        <w:t>17</w:t>
      </w:r>
      <w:r>
        <w:fldChar w:fldCharType="end"/>
      </w:r>
      <w:r>
        <w:rPr>
          <w:b/>
          <w:bCs/>
        </w:rPr>
        <w:t xml:space="preserve"> — </w:t>
      </w:r>
      <w:r>
        <w:rPr>
          <w:i/>
          <w:iCs/>
        </w:rPr>
        <w:t xml:space="preserve">MR → success metric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338"/>
        <w:gridCol w:w="1338"/>
        <w:gridCol w:w="1338"/>
        <w:gridCol w:w="1338"/>
        <w:gridCol w:w="1338"/>
        <w:gridCol w:w="1342"/>
      </w:tblGrid>
      <w:tr>
        <w:trPr>
          <w:cantSplit/>
          <w:tblHeader/>
        </w:trPr>
        <w:tc>
          <w:tcPr>
            <w:tcW w:type="dxa" w:w="16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MR</w:t>
            </w:r>
          </w:p>
        </w:tc>
        <w:tc>
          <w:tcPr>
            <w:tcW w:type="dxa" w:w="1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SM-01</w:t>
            </w:r>
          </w:p>
        </w:tc>
        <w:tc>
          <w:tcPr>
            <w:tcW w:type="dxa" w:w="1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SM-02</w:t>
            </w:r>
          </w:p>
        </w:tc>
        <w:tc>
          <w:tcPr>
            <w:tcW w:type="dxa" w:w="1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SM-03</w:t>
            </w:r>
          </w:p>
        </w:tc>
        <w:tc>
          <w:tcPr>
            <w:tcW w:type="dxa" w:w="1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SM-04</w:t>
            </w:r>
          </w:p>
        </w:tc>
        <w:tc>
          <w:tcPr>
            <w:tcW w:type="dxa" w:w="13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SM-05</w:t>
            </w:r>
          </w:p>
        </w:tc>
        <w:tc>
          <w:tcPr>
            <w:tcW w:type="dxa" w:w="134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SM-06</w:t>
            </w:r>
          </w:p>
        </w:tc>
      </w:tr>
      <w:tr>
        <w:trPr>
          <w:cantSplit/>
        </w:trPr>
        <w:tc>
          <w:tcPr>
            <w:tcW w:type="dxa" w:w="16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MR-01</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MR-02</w:t>
            </w: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MR-03</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MR-04</w:t>
            </w: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16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MR-05</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3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bl>
    <w:p>
      <w:pPr>
        <w:spacing w:after="120"/>
      </w:pPr>
    </w:p>
    <w:p>
      <w:pPr>
        <w:pStyle w:val="Heading1"/>
      </w:pPr>
      <w:r>
        <w:t xml:space="preserve">Appendix A — TBD Register</w:t>
      </w:r>
    </w:p>
    <w:p>
      <w:pPr>
        <w:spacing w:after="120"/>
      </w:pPr>
      <w:r>
        <w:t xml:space="preserve">Consolidated list of items the source baseline leaves undetermined. Each must be resolved before the related content can be baselined.</w:t>
      </w:r>
    </w:p>
    <w:p>
      <w:pPr>
        <w:pStyle w:val="Caption"/>
        <w:keepNext/>
        <w:jc w:val="center"/>
      </w:pPr>
      <w:r>
        <w:rPr>
          <w:b/>
          <w:bCs/>
        </w:rPr>
        <w:t xml:space="preserve">Table </w:t>
      </w:r>
      <w:r>
        <w:fldChar w:fldCharType="begin"/>
      </w:r>
      <w:r>
        <w:instrText xml:space="preserve"> SEQ Table \* ARABIC </w:instrText>
      </w:r>
      <w:r>
        <w:fldChar w:fldCharType="separate"/>
      </w:r>
      <w:r>
        <w:rPr>
          <w:b/>
          <w:bCs/>
        </w:rPr>
        <w:t>18</w:t>
      </w:r>
      <w:r>
        <w:fldChar w:fldCharType="end"/>
      </w:r>
      <w:r>
        <w:rPr>
          <w:b/>
          <w:bCs/>
        </w:rPr>
        <w:t xml:space="preserve"> — </w:t>
      </w:r>
      <w:r>
        <w:rPr>
          <w:i/>
          <w:iCs/>
        </w:rPr>
        <w:t xml:space="preserve">TBD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4"/>
        <w:gridCol w:w="4337"/>
        <w:gridCol w:w="1566"/>
        <w:gridCol w:w="2651"/>
      </w:tblGrid>
      <w:tr>
        <w:trPr>
          <w:cantSplit/>
          <w:tblHeader/>
        </w:trPr>
        <w:tc>
          <w:tcPr>
            <w:tcW w:type="dxa" w:w="108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33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Item</w:t>
            </w:r>
          </w:p>
        </w:tc>
        <w:tc>
          <w:tcPr>
            <w:tcW w:type="dxa" w:w="156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265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Blocks</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-01</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Lending product and jurisdiction</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Scope; privacy and residency</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-02</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Supported instruments/devices and evidence formats</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-03</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Bank policies and approval rules</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MR-02, MR-05</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-04</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residency and consent rules</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Privacy constraints</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-05</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LOS/LMS/core systems to integrate</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scope</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-06</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Operational support and exception-resolution ownership</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§9</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MR-05</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-07</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Competitor set and assessments</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§6</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External circulation</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-08</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Quantified benefits</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§5</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Value proposition</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-09</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Metric baselines and targets</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MRS §8</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Success measures</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-10</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Market sizing, pricing and packaging</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Commercial scope</w:t>
            </w:r>
          </w:p>
        </w:tc>
      </w:tr>
      <w:tr>
        <w:trPr>
          <w:cantSplit/>
        </w:trPr>
        <w:tc>
          <w:tcPr>
            <w:tcW w:type="dxa" w:w="108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-11</w:t>
            </w:r>
          </w:p>
        </w:tc>
        <w:tc>
          <w:tcPr>
            <w:tcW w:type="dxa" w:w="433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Requirement priorities</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65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Release planning</w:t>
            </w:r>
          </w:p>
        </w:tc>
      </w:tr>
      <w:tr>
        <w:trPr>
          <w:cantSplit/>
        </w:trPr>
        <w:tc>
          <w:tcPr>
            <w:tcW w:type="dxa" w:w="108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-12</w:t>
            </w:r>
          </w:p>
        </w:tc>
        <w:tc>
          <w:tcPr>
            <w:tcW w:type="dxa" w:w="433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owner, classification and approvers</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65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control</w:t>
            </w:r>
          </w:p>
        </w:tc>
      </w:tr>
    </w:tbl>
    <w:p>
      <w:pPr>
        <w:spacing w:after="120"/>
      </w:pP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3A5A" w:sz="6" w:space="4"/>
      </w:pBdr>
      <w:tabs>
        <w:tab w:val="right" w:pos="9638"/>
      </w:tabs>
    </w:pPr>
    <w:r>
      <w:rPr>
        <w:color w:val="5B6B7C"/>
        <w:sz w:val="16"/>
        <w:szCs w:val="16"/>
      </w:rPr>
      <w:t xml:space="preserve">AURA-MRS-1.0  |  ISO/IEC/IEEE 29148:2018 (BRS)</w:t>
    </w:r>
    <w:r>
      <w:rPr>
        <w:color w:val="5B6B7C"/>
        <w:sz w:val="16"/>
        <w:szCs w:val="16"/>
      </w:rPr>
      <w:t xml:space="preserve">	Page </w:t>
    </w:r>
    <w:r>
      <w:rPr>
        <w:b/>
        <w:bCs/>
        <w:color w:val="163A5A"/>
        <w:sz w:val="16"/>
        <w:szCs w:val="16"/>
      </w:rPr>
      <w:fldChar w:fldCharType="begin"/>
      <w:instrText xml:space="preserve">PAGE</w:instrText>
      <w:fldChar w:fldCharType="separate"/>
      <w:fldChar w:fldCharType="end"/>
    </w:r>
    <w:r>
      <w:rPr>
        <w:color w:val="5B6B7C"/>
        <w:sz w:val="16"/>
        <w:szCs w:val="16"/>
      </w:rPr>
      <w:t xml:space="preserve"> of </w:t>
    </w:r>
    <w:r>
      <w:rPr>
        <w:b/>
        <w:bCs/>
        <w:color w:val="163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3A5A" w:sz="6" w:space="4"/>
      </w:pBdr>
    </w:pPr>
    <w:r>
      <w:rPr>
        <w:color w:val="5B6B7C"/>
        <w:sz w:val="16"/>
        <w:szCs w:val="16"/>
      </w:rPr>
      <w:t xml:space="preserve">Aura  |  </w:t>
    </w:r>
    <w:r>
      <w:rPr>
        <w:b/>
        <w:bCs/>
        <w:color w:val="163A5A"/>
        <w:sz w:val="16"/>
        <w:szCs w:val="16"/>
      </w:rPr>
      <w:t xml:space="preserve">MARKET REQUIREMENTS SPECIFICATION</w:t>
    </w:r>
    <w:r>
      <w:rPr>
        <w:color w:val="5B6B7C"/>
        <w:sz w:val="16"/>
        <w:szCs w:val="16"/>
      </w:rPr>
      <w:t xml:space="preserve">  |  AURA-MRS-1.0  |  Classification: TBD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A7F7A" w:sz="12" w:space="4"/>
      </w:pBdr>
      <w:spacing w:after="200" w:before="120"/>
      <w:outlineLvl w:val="0"/>
    </w:pPr>
    <w:rPr>
      <w:rFonts w:ascii="Cambria" w:cs="Cambria" w:eastAsia="Cambria" w:hAnsi="Cambria"/>
      <w:b/>
      <w:bCs/>
      <w:color w:val="163A5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4E79"/>
      <w:sz w:val="26"/>
      <w:szCs w:val="26"/>
    </w:rPr>
  </w:style>
  <w:style w:type="paragraph" w:styleId="Heading3">
    <w:name w:val="Heading 3"/>
    <w:basedOn w:val="Normal"/>
    <w:next w:val="Normal"/>
    <w:qFormat/>
    <w:pPr>
      <w:keepNext/>
      <w:spacing w:after="100" w:before="200"/>
      <w:outlineLvl w:val="2"/>
    </w:pPr>
    <w:rPr>
      <w:rFonts w:ascii="Cambria" w:cs="Cambria" w:eastAsia="Cambria" w:hAnsi="Cambria"/>
      <w:b/>
      <w:bCs/>
      <w:color w:val="1A7F7A"/>
      <w:sz w:val="22"/>
      <w:szCs w:val="22"/>
    </w:rPr>
  </w:style>
  <w:style w:type="paragraph" w:styleId="TOC1">
    <w:name w:val="toc 1"/>
    <w:basedOn w:val="Normal"/>
    <w:next w:val="Normal"/>
    <w:pPr>
      <w:tabs>
        <w:tab w:val="right" w:pos="9638" w:leader="dot"/>
      </w:tabs>
      <w:spacing w:after="40" w:before="120"/>
    </w:pPr>
    <w:rPr>
      <w:b/>
      <w:bCs/>
      <w:color w:val="163A5A"/>
      <w:sz w:val="21"/>
      <w:szCs w:val="21"/>
    </w:rPr>
  </w:style>
  <w:style w:type="paragraph" w:styleId="TOC2">
    <w:name w:val="toc 2"/>
    <w:basedOn w:val="Normal"/>
    <w:next w:val="Normal"/>
    <w:pPr>
      <w:tabs>
        <w:tab w:val="right" w:pos="9638" w:leader="dot"/>
      </w:tabs>
      <w:spacing w:after="30"/>
      <w:ind w:left="360"/>
    </w:pPr>
    <w:rPr>
      <w:sz w:val="20"/>
      <w:szCs w:val="20"/>
    </w:rPr>
  </w:style>
  <w:style w:type="paragraph" w:styleId="TOC3">
    <w:name w:val="toc 3"/>
    <w:basedOn w:val="Normal"/>
    <w:next w:val="Normal"/>
    <w:pPr>
      <w:tabs>
        <w:tab w:val="right" w:pos="9638" w:leader="dot"/>
      </w:tabs>
      <w:spacing w:after="20"/>
      <w:ind w:left="720"/>
    </w:pPr>
    <w:rPr>
      <w:color w:val="5B6B7C"/>
      <w:sz w:val="19"/>
      <w:szCs w:val="19"/>
    </w:rPr>
  </w:style>
  <w:style w:type="paragraph" w:styleId="TableofFigures">
    <w:name w:val="table of figures"/>
    <w:basedOn w:val="Normal"/>
    <w:next w:val="Normal"/>
    <w:pPr>
      <w:tabs>
        <w:tab w:val="right" w:pos="9638" w:leader="dot"/>
      </w:tabs>
      <w:spacing w:after="30"/>
    </w:pPr>
    <w:rPr>
      <w:sz w:val="20"/>
      <w:szCs w:val="20"/>
    </w:rPr>
  </w:style>
  <w:style w:type="paragraph" w:styleId="Caption">
    <w:name w:val="Caption"/>
    <w:basedOn w:val="Normal"/>
    <w:next w:val="Normal"/>
    <w:qFormat/>
    <w:pPr>
      <w:spacing w:after="120" w:before="60"/>
    </w:pPr>
    <w:rPr>
      <w:color w:val="163A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7772b0caccdb74022634845b18d9a937870ee2c.png"/><Relationship Id="rId12" Type="http://schemas.openxmlformats.org/officeDocument/2006/relationships/image" Target="media/d70972ef9e34a41a87d4da3392ab55e9f0418010.png"/><Relationship Id="rId13" Type="http://schemas.openxmlformats.org/officeDocument/2006/relationships/image" Target="media/157a4e4896e5f198bb8b23a292293d3c096729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Requirements Specification — Aura</dc:title>
  <dc:creator>Senior Software Architect</dc:creator>
  <dc:description>Business &amp; Market Requirements — Discovery Baseline</dc:description>
  <cp:lastModifiedBy>Un-named</cp:lastModifiedBy>
  <cp:revision>1</cp:revision>
  <dcterms:created xsi:type="dcterms:W3CDTF">2026-10-13T08:41:46.493Z</dcterms:created>
  <dcterms:modified xsi:type="dcterms:W3CDTF">2026-10-13T08:41:46.493Z</dcterms:modified>
</cp:coreProperties>
</file>

<file path=docProps/custom.xml><?xml version="1.0" encoding="utf-8"?>
<Properties xmlns="http://schemas.openxmlformats.org/officeDocument/2006/custom-properties" xmlns:vt="http://schemas.openxmlformats.org/officeDocument/2006/docPropsVTypes"/>
</file>