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mbria" w:cs="Cambria" w:eastAsia="Cambria" w:hAnsi="Cambria"/>
          <w:b/>
          <w:bCs/>
          <w:color w:val="163A5A"/>
          <w:spacing w:val="60"/>
          <w:sz w:val="36"/>
          <w:szCs w:val="36"/>
        </w:rPr>
        <w:t xml:space="preserve">AURA</w:t>
      </w:r>
    </w:p>
    <w:p>
      <w:pPr>
        <w:spacing w:after="120"/>
        <w:jc w:val="center"/>
      </w:pPr>
      <w:r>
        <w:rPr>
          <w:color w:val="1A7F7A"/>
          <w:sz w:val="24"/>
          <w:szCs w:val="24"/>
        </w:rPr>
        <w:t xml:space="preserve">Evidence Intake · Validation · Decision Traceability</w:t>
      </w:r>
    </w:p>
    <w:p>
      <w:pPr>
        <w:spacing w:after="500"/>
        <w:jc w:val="center"/>
      </w:pPr>
      <w:r>
        <w:rPr>
          <w:color w:val="5B6B7C"/>
          <w:sz w:val="20"/>
          <w:szCs w:val="20"/>
        </w:rPr>
        <w:t xml:space="preserve">Requirements &amp; Architecture Series · MRS · PRS · SyRS · HLD · LLD · PDLC</w:t>
      </w:r>
    </w:p>
    <w:p>
      <w:pPr>
        <w:pBdr>
          <w:top w:val="single" w:color="163A5A" w:sz="12" w:space="6"/>
          <w:bottom w:val="single" w:color="163A5A" w:sz="12" w:space="6"/>
        </w:pBdr>
        <w:spacing w:after="300"/>
        <w:jc w:val="center"/>
      </w:pPr>
      <w:r>
        <w:rPr>
          <w:rFonts w:ascii="Cambria" w:cs="Cambria" w:eastAsia="Cambria" w:hAnsi="Cambria"/>
          <w:b/>
          <w:bCs/>
          <w:color w:val="163A5A"/>
          <w:sz w:val="44"/>
          <w:szCs w:val="44"/>
        </w:rPr>
        <w:t xml:space="preserve">AURA PRODUCT DEVELOPMENT LIFE CYCLE</w:t>
      </w:r>
    </w:p>
    <w:p>
      <w:pPr>
        <w:spacing w:after="600"/>
        <w:jc w:val="center"/>
      </w:pPr>
      <w:r>
        <w:rPr>
          <w:i/>
          <w:iCs/>
          <w:color w:val="5B6B7C"/>
          <w:sz w:val="22"/>
          <w:szCs w:val="22"/>
        </w:rPr>
        <w:t xml:space="preserve">Life Cycle Model, Stages, Gates, V&amp;V, Release and Governance — Initial Baseline</w:t>
      </w:r>
    </w:p>
    <w:tbl>
      <w:tblPr>
        <w:tblW w:type="dxa" w:w="5783"/>
        <w:jc w:val="center"/>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AURA-PDLC-1.0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 FOR REVIEW</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2026-10-13</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Classification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 (organisation </w:t>
            </w:r>
            <w:r>
              <w:rPr>
                <w:b/>
                <w:bCs/>
                <w:color w:val="B7791F"/>
                <w:sz w:val="18"/>
                <w:szCs w:val="18"/>
              </w:rPr>
              <w:t xml:space="preserve">TBD</w:t>
            </w:r>
            <w:r>
              <w:rPr>
                <w:b w:val="false"/>
                <w:bCs w:val="false"/>
                <w:color w:val="222222"/>
                <w:sz w:val="18"/>
                <w:szCs w:val="18"/>
              </w:rPr>
              <w:t xml:space="preserve">)</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12207:2017 (tailored)</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Companion Docs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 AURA-PRS-1.0 · AURA-SYRS-1.0 · AURA-HLD-1.0 · AURA-LLD-1.0</w:t>
            </w:r>
          </w:p>
        </w:tc>
      </w:tr>
    </w:tbl>
    <w:p>
      <w:pPr>
        <w:spacing w:before="700"/>
        <w:jc w:val="center"/>
      </w:pPr>
      <w:r>
        <w:rPr>
          <w:b/>
          <w:bCs/>
          <w:color w:val="A61B1B"/>
          <w:sz w:val="18"/>
          <w:szCs w:val="18"/>
        </w:rPr>
        <w:t xml:space="preserve">Schedule, budget, team, named roles, technology and hosting are not defined in the baseline and are marked </w:t>
      </w:r>
      <w:r>
        <w:rPr>
          <w:b/>
          <w:bCs/>
          <w:color w:val="B7791F"/>
          <w:sz w:val="18"/>
          <w:szCs w:val="18"/>
        </w:rPr>
        <w:t xml:space="preserve">TBD</w:t>
      </w:r>
      <w:r>
        <w:rPr>
          <w:b/>
          <w:bCs/>
          <w:color w:val="A61B1B"/>
          <w:sz w:val="18"/>
          <w:szCs w:val="18"/>
        </w:rPr>
        <w:t xml:space="preserve">. Stage structure follows the referenced standards; Aura-specific criteria are derived from MRS, PRS and HLD.</w:t>
      </w:r>
    </w:p>
    <w:p>
      <w:r>
        <w:br w:type="page"/>
      </w:r>
    </w:p>
    <w:p>
      <w:pPr>
        <w:pBdr>
          <w:bottom w:val="single" w:color="1A7F7A" w:sz="6" w:space="2"/>
        </w:pBdr>
        <w:spacing w:after="120" w:before="240"/>
      </w:pPr>
      <w:r>
        <w:rPr>
          <w:rFonts w:ascii="Cambria" w:cs="Cambria" w:eastAsia="Cambria" w:hAnsi="Cambria"/>
          <w:b/>
          <w:bCs/>
          <w:color w:val="163A5A"/>
          <w:sz w:val="26"/>
          <w:szCs w:val="26"/>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AURA-PDLC-1.0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Title</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Product Development Life Cycle — Aura</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for review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Product</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 — controlled evidence intake, validation and decision traceability workflow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12207:2017 (tailored); ISO/IEC/IEEE 29148:2018; IEEE 1016-2009; IEEE 1012-2016; ISO/IEC/IEEE 29119; IEEE 828-2012; ISO/IEC/IEEE 16085:2021; ISO/IEC/IEEE 16326:2019</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Source basis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AURA-PRS-1.0 and AURA-HLD-1.0 (finalized baselines). Reference documents supplied for formatting only.</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Owner</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Series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 · AURA-PRS · AURA-SYRS · AURA-HLD · AURA-LLD · AURA-PDLC</w:t>
            </w:r>
          </w:p>
        </w:tc>
      </w:tr>
    </w:tbl>
    <w:p/>
    <w:p>
      <w:pPr>
        <w:pBdr>
          <w:bottom w:val="single" w:color="1A7F7A" w:sz="6" w:space="2"/>
        </w:pBdr>
        <w:spacing w:after="120" w:before="240"/>
      </w:pPr>
      <w:r>
        <w:rPr>
          <w:rFonts w:ascii="Cambria" w:cs="Cambria" w:eastAsia="Cambria" w:hAnsi="Cambria"/>
          <w:b/>
          <w:bCs/>
          <w:color w:val="163A5A"/>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686"/>
        <w:gridCol w:w="1927"/>
        <w:gridCol w:w="4821"/>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Version</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Author</w:t>
            </w:r>
          </w:p>
        </w:tc>
        <w:tc>
          <w:tcPr>
            <w:tcW w:type="dxa" w:w="482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Description</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1.0</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w:t>
            </w:r>
          </w:p>
        </w:tc>
        <w:tc>
          <w:tcPr>
            <w:tcW w:type="dxa" w:w="482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baseline. Stage and gate structure tailored from ISO/IEC/IEEE 12207; Aura-specific gate criteria, risks and V&amp;V content derived from MRS, PRS and HLD.</w:t>
            </w: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3"/>
        <w:gridCol w:w="2322"/>
        <w:gridCol w:w="2322"/>
        <w:gridCol w:w="1511"/>
      </w:tblGrid>
      <w:tr>
        <w:trPr>
          <w:cantSplit/>
          <w:tblHeader/>
        </w:trPr>
        <w:tc>
          <w:tcPr>
            <w:tcW w:type="dxa" w:w="348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Name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Signature</w:t>
            </w:r>
          </w:p>
        </w:tc>
        <w:tc>
          <w:tcPr>
            <w:tcW w:type="dxa" w:w="151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 — Senior Software Architect</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Reviewed by — Product Management</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Reviewed by — Risk / Compliance</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Approved by — Product Owner</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Evidence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Marker</w:t>
            </w:r>
          </w:p>
        </w:tc>
        <w:tc>
          <w:tcPr>
            <w:tcW w:type="dxa" w:w="79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Meaning</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MRS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AURA-MRS-1.0 — Market Requirements Specification (finalized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PRS §n</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AURA-PRS-1.0 — Product Requirements Specification (finalized baseline).</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HLD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AURA-HLD-1.0 — High-Level Design (finalized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ID references</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Identifiers defined in the finalized baseline: MR, MP, MS, SM, OQ, CN, GC, RK (MRS); PR, NFR, EC, OD, UC (PRS); C, IF, SC, OP, AP, AD, PD, AR, DG (HLD).</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Stated</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Content taken directly from the finalized MRS, PRS or HLD; wording preserved where practical.</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Derived</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Structural derivation by the architect (identifier assignment, decomposition, allocation, trace links, proposed verification method) from stated content. No new requirement, value or technology is introduced; derived items require confirmation.</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 / </w:t>
            </w:r>
            <w:r>
              <w:rPr>
                <w:b/>
                <w:bCs/>
                <w:color w:val="B7791F"/>
                <w:sz w:val="18"/>
                <w:szCs w:val="18"/>
              </w:rPr>
              <w:t xml:space="preserve">TBC</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To be determined / to be confirmed. The baseline does not provide this information; no value is asserted.</w:t>
            </w:r>
          </w:p>
        </w:tc>
      </w:tr>
    </w:tbl>
    <w:p>
      <w:pPr>
        <w:spacing w:after="120"/>
      </w:pPr>
    </w:p>
    <w:p>
      <w:r>
        <w:br w:type="page"/>
      </w:r>
    </w:p>
    <w:p>
      <w:pPr>
        <w:pBdr>
          <w:bottom w:val="single" w:color="1A7F7A" w:sz="6" w:space="2"/>
        </w:pBdr>
        <w:spacing w:after="120" w:before="240"/>
      </w:pPr>
      <w:r>
        <w:rPr>
          <w:rFonts w:ascii="Cambria" w:cs="Cambria" w:eastAsia="Cambria" w:hAnsi="Cambria"/>
          <w:b/>
          <w:bCs/>
          <w:color w:val="163A5A"/>
          <w:sz w:val="26"/>
          <w:szCs w:val="26"/>
        </w:rPr>
        <w:t xml:space="preserve">Table of Contents</w:t>
      </w:r>
    </w:p>
    <w:sdt>
      <w:sdtPr>
        <w:alias w:val="Table of Contents"/>
      </w:sdtPr>
      <w:sdtContent>
        <w:p>
          <w:pPr>
            <w:pStyle w:val="TOC1"/>
          </w:pPr>
          <w:r>
            <w:fldChar w:fldCharType="begin" w:dirty="true"/>
          </w:r>
          <w:r>
            <w:instrText xml:space="preserve">TOC \h \o "1-3" \z</w:instrText>
          </w:r>
          <w:r>
            <w:fldChar w:fldCharType="separate"/>
          </w:r>
          <w:r>
            <w:t xml:space="preserve">1 Introduction</w:t>
          </w:r>
          <w:r>
            <w:tab/>
          </w:r>
          <w:r>
            <w:t>6</w:t>
          </w:r>
        </w:p>
        <w:p>
          <w:pPr>
            <w:pStyle w:val="TOC2"/>
          </w:pPr>
          <w:r>
            <w:t xml:space="preserve">1.1 Purpose</w:t>
          </w:r>
          <w:r>
            <w:tab/>
          </w:r>
          <w:r>
            <w:t>6</w:t>
          </w:r>
        </w:p>
        <w:p>
          <w:pPr>
            <w:pStyle w:val="TOC2"/>
          </w:pPr>
          <w:r>
            <w:t xml:space="preserve">1.2 Scope</w:t>
          </w:r>
          <w:r>
            <w:tab/>
          </w:r>
          <w:r>
            <w:t>6</w:t>
          </w:r>
        </w:p>
        <w:p>
          <w:pPr>
            <w:pStyle w:val="TOC2"/>
          </w:pPr>
          <w:r>
            <w:t xml:space="preserve">1.3 Standards Conformance</w:t>
          </w:r>
          <w:r>
            <w:tab/>
          </w:r>
          <w:r>
            <w:t>6</w:t>
          </w:r>
        </w:p>
        <w:p>
          <w:pPr>
            <w:pStyle w:val="TOC1"/>
          </w:pPr>
          <w:r>
            <w:t xml:space="preserve">2 Product Concept</w:t>
          </w:r>
          <w:r>
            <w:tab/>
          </w:r>
          <w:r>
            <w:t>7</w:t>
          </w:r>
        </w:p>
        <w:p>
          <w:pPr>
            <w:pStyle w:val="TOC2"/>
          </w:pPr>
          <w:r>
            <w:t xml:space="preserve">2.1 Problem Statement (Hypothesis)</w:t>
          </w:r>
          <w:r>
            <w:tab/>
          </w:r>
          <w:r>
            <w:t>7</w:t>
          </w:r>
        </w:p>
        <w:p>
          <w:pPr>
            <w:pStyle w:val="TOC2"/>
          </w:pPr>
          <w:r>
            <w:t xml:space="preserve">2.2 Vision</w:t>
          </w:r>
          <w:r>
            <w:tab/>
          </w:r>
          <w:r>
            <w:t>7</w:t>
          </w:r>
        </w:p>
        <w:p>
          <w:pPr>
            <w:pStyle w:val="TOC2"/>
          </w:pPr>
          <w:r>
            <w:t xml:space="preserve">2.3 Business Objectives</w:t>
          </w:r>
          <w:r>
            <w:tab/>
          </w:r>
          <w:r>
            <w:t>7</w:t>
          </w:r>
        </w:p>
        <w:p>
          <w:pPr>
            <w:pStyle w:val="TOC1"/>
          </w:pPr>
          <w:r>
            <w:t xml:space="preserve">3 Life Cycle Model and Phase Plan</w:t>
          </w:r>
          <w:r>
            <w:tab/>
          </w:r>
          <w:r>
            <w:t>8</w:t>
          </w:r>
        </w:p>
        <w:p>
          <w:pPr>
            <w:pStyle w:val="TOC2"/>
          </w:pPr>
          <w:r>
            <w:t xml:space="preserve">3.1 Stages and Gates</w:t>
          </w:r>
          <w:r>
            <w:tab/>
          </w:r>
          <w:r>
            <w:t>8</w:t>
          </w:r>
        </w:p>
        <w:p>
          <w:pPr>
            <w:pStyle w:val="TOC2"/>
          </w:pPr>
          <w:r>
            <w:t xml:space="preserve">3.2 Development Increments</w:t>
          </w:r>
          <w:r>
            <w:tab/>
          </w:r>
          <w:r>
            <w:t>8</w:t>
          </w:r>
        </w:p>
        <w:p>
          <w:pPr>
            <w:pStyle w:val="TOC2"/>
          </w:pPr>
          <w:r>
            <w:t xml:space="preserve">3.3 First Vertical Slice</w:t>
          </w:r>
          <w:r>
            <w:tab/>
          </w:r>
          <w:r>
            <w:t>10</w:t>
          </w:r>
        </w:p>
        <w:p>
          <w:pPr>
            <w:pStyle w:val="TOC1"/>
          </w:pPr>
          <w:r>
            <w:t xml:space="preserve">4 Requirements and Design Baseline</w:t>
          </w:r>
          <w:r>
            <w:tab/>
          </w:r>
          <w:r>
            <w:t>11</w:t>
          </w:r>
        </w:p>
        <w:p>
          <w:pPr>
            <w:pStyle w:val="TOC2"/>
          </w:pPr>
          <w:r>
            <w:t xml:space="preserve">4.1 Technology Baseline</w:t>
          </w:r>
          <w:r>
            <w:tab/>
          </w:r>
          <w:r>
            <w:t>12</w:t>
          </w:r>
        </w:p>
        <w:p>
          <w:pPr>
            <w:pStyle w:val="TOC2"/>
          </w:pPr>
          <w:r>
            <w:t xml:space="preserve">4.2 Migration</w:t>
          </w:r>
          <w:r>
            <w:tab/>
          </w:r>
          <w:r>
            <w:t>12</w:t>
          </w:r>
        </w:p>
        <w:p>
          <w:pPr>
            <w:pStyle w:val="TOC1"/>
          </w:pPr>
          <w:r>
            <w:t xml:space="preserve">5 Verification and Validation</w:t>
          </w:r>
          <w:r>
            <w:tab/>
          </w:r>
          <w:r>
            <w:t>13</w:t>
          </w:r>
        </w:p>
        <w:p>
          <w:pPr>
            <w:pStyle w:val="TOC2"/>
          </w:pPr>
          <w:r>
            <w:t xml:space="preserve">5.1 Integrity Levels (IEEE 1012)</w:t>
          </w:r>
          <w:r>
            <w:tab/>
          </w:r>
          <w:r>
            <w:t>13</w:t>
          </w:r>
        </w:p>
        <w:p>
          <w:pPr>
            <w:pStyle w:val="TOC2"/>
          </w:pPr>
          <w:r>
            <w:t xml:space="preserve">5.2 Test Levels (ISO/IEC/IEEE 29119)</w:t>
          </w:r>
          <w:r>
            <w:tab/>
          </w:r>
          <w:r>
            <w:t>13</w:t>
          </w:r>
        </w:p>
        <w:p>
          <w:pPr>
            <w:pStyle w:val="TOC2"/>
          </w:pPr>
          <w:r>
            <w:t xml:space="preserve">5.3 Mandatory End-to-End Scenarios</w:t>
          </w:r>
          <w:r>
            <w:tab/>
          </w:r>
          <w:r>
            <w:t>13</w:t>
          </w:r>
        </w:p>
        <w:p>
          <w:pPr>
            <w:pStyle w:val="TOC2"/>
          </w:pPr>
          <w:r>
            <w:t xml:space="preserve">5.4 Definition of Done</w:t>
          </w:r>
          <w:r>
            <w:tab/>
          </w:r>
          <w:r>
            <w:t>14</w:t>
          </w:r>
        </w:p>
        <w:p>
          <w:pPr>
            <w:pStyle w:val="TOC1"/>
          </w:pPr>
          <w:r>
            <w:t xml:space="preserve">6 Transition, Operation and Maintenance</w:t>
          </w:r>
          <w:r>
            <w:tab/>
          </w:r>
          <w:r>
            <w:t>15</w:t>
          </w:r>
        </w:p>
        <w:p>
          <w:pPr>
            <w:pStyle w:val="TOC2"/>
          </w:pPr>
          <w:r>
            <w:t xml:space="preserve">6.1 Release Process</w:t>
          </w:r>
          <w:r>
            <w:tab/>
          </w:r>
          <w:r>
            <w:t>15</w:t>
          </w:r>
        </w:p>
        <w:p>
          <w:pPr>
            <w:pStyle w:val="TOC2"/>
          </w:pPr>
          <w:r>
            <w:t xml:space="preserve">6.2 Operations</w:t>
          </w:r>
          <w:r>
            <w:tab/>
          </w:r>
          <w:r>
            <w:t>15</w:t>
          </w:r>
        </w:p>
        <w:p>
          <w:pPr>
            <w:pStyle w:val="TOC2"/>
          </w:pPr>
          <w:r>
            <w:t xml:space="preserve">6.3 Maintenance</w:t>
          </w:r>
          <w:r>
            <w:tab/>
          </w:r>
          <w:r>
            <w:t>15</w:t>
          </w:r>
        </w:p>
        <w:p>
          <w:pPr>
            <w:pStyle w:val="TOC1"/>
          </w:pPr>
          <w:r>
            <w:t xml:space="preserve">7 Project Management</w:t>
          </w:r>
          <w:r>
            <w:tab/>
          </w:r>
          <w:r>
            <w:t>16</w:t>
          </w:r>
        </w:p>
        <w:p>
          <w:pPr>
            <w:pStyle w:val="TOC2"/>
          </w:pPr>
          <w:r>
            <w:t xml:space="preserve">7.1 Configuration Management (IEEE 828)</w:t>
          </w:r>
          <w:r>
            <w:tab/>
          </w:r>
          <w:r>
            <w:t>16</w:t>
          </w:r>
        </w:p>
        <w:p>
          <w:pPr>
            <w:pStyle w:val="TOC2"/>
          </w:pPr>
          <w:r>
            <w:t xml:space="preserve">7.2 Roles</w:t>
          </w:r>
          <w:r>
            <w:tab/>
          </w:r>
          <w:r>
            <w:t>16</w:t>
          </w:r>
        </w:p>
        <w:p>
          <w:pPr>
            <w:pStyle w:val="TOC2"/>
          </w:pPr>
          <w:r>
            <w:t xml:space="preserve">7.3 Risk Register (ISO/IEC/IEEE 16085)</w:t>
          </w:r>
          <w:r>
            <w:tab/>
          </w:r>
          <w:r>
            <w:t>16</w:t>
          </w:r>
        </w:p>
        <w:p>
          <w:pPr>
            <w:pStyle w:val="TOC2"/>
          </w:pPr>
          <w:r>
            <w:t xml:space="preserve">7.4 Traceability</w:t>
          </w:r>
          <w:r>
            <w:tab/>
          </w:r>
          <w:r>
            <w:t>17</w:t>
          </w:r>
        </w:p>
        <w:p>
          <w:pPr>
            <w:pStyle w:val="TOC1"/>
          </w:pPr>
          <w:r>
            <w:t xml:space="preserve">8 Assumptions, Conflicts and Open Issues</w:t>
          </w:r>
          <w:r>
            <w:tab/>
          </w:r>
          <w:r>
            <w:t>18</w:t>
          </w:r>
        </w:p>
        <w:p>
          <w:pPr>
            <w:pStyle w:val="TOC2"/>
          </w:pPr>
          <w:r>
            <w:t xml:space="preserve">8.1 Assumptions</w:t>
          </w:r>
          <w:r>
            <w:tab/>
          </w:r>
          <w:r>
            <w:t>18</w:t>
          </w:r>
        </w:p>
        <w:p>
          <w:pPr>
            <w:pStyle w:val="TOC2"/>
          </w:pPr>
          <w:r>
            <w:t xml:space="preserve">8.2 Consistency Findings</w:t>
          </w:r>
          <w:r>
            <w:tab/>
          </w:r>
          <w:r>
            <w:t>18</w:t>
          </w:r>
        </w:p>
        <w:p>
          <w:pPr>
            <w:pStyle w:val="TOC2"/>
          </w:pPr>
          <w:r>
            <w:t xml:space="preserve">8.3 Missing Information</w:t>
          </w:r>
          <w:r>
            <w:tab/>
          </w:r>
          <w:r>
            <w:t>18</w:t>
          </w:r>
          <w:r>
            <w:fldChar w:fldCharType="end"/>
          </w:r>
        </w:p>
      </w:sdtContent>
    </w:sdt>
    <w:p>
      <w:r>
        <w:br w:type="page"/>
      </w:r>
    </w:p>
    <w:p>
      <w:pPr>
        <w:pBdr>
          <w:bottom w:val="single" w:color="1A7F7A" w:sz="6" w:space="2"/>
        </w:pBdr>
        <w:spacing w:after="120" w:before="240"/>
      </w:pPr>
      <w:r>
        <w:rPr>
          <w:rFonts w:ascii="Cambria" w:cs="Cambria" w:eastAsia="Cambria" w:hAnsi="Cambria"/>
          <w:b/>
          <w:bCs/>
          <w:color w:val="163A5A"/>
          <w:sz w:val="26"/>
          <w:szCs w:val="26"/>
        </w:rPr>
        <w:t xml:space="preserve">List of Figures</w:t>
      </w:r>
    </w:p>
    <w:sdt>
      <w:sdtPr>
        <w:alias w:val="List of Figures"/>
      </w:sdtPr>
      <w:sdtContent>
        <w:p>
          <w:pPr>
            <w:pStyle w:val="TableofFigures"/>
          </w:pPr>
          <w:r>
            <w:fldChar w:fldCharType="begin" w:dirty="true"/>
          </w:r>
          <w:r>
            <w:instrText xml:space="preserve">TOC \c "Figure" \h</w:instrText>
          </w:r>
          <w:r>
            <w:fldChar w:fldCharType="separate"/>
          </w:r>
          <w:r>
            <w:t xml:space="preserve">Figure 1 — Aura life cycle stages and gates</w:t>
          </w:r>
          <w:r>
            <w:tab/>
          </w:r>
          <w:r>
            <w:t>8</w:t>
          </w:r>
        </w:p>
        <w:p>
          <w:pPr>
            <w:pStyle w:val="TableofFigures"/>
          </w:pPr>
          <w:r>
            <w:t xml:space="preserve">Figure 2 — Candidate increment dependencies</w:t>
          </w:r>
          <w:r>
            <w:tab/>
          </w:r>
          <w:r>
            <w:t>9</w:t>
          </w:r>
        </w:p>
        <w:p>
          <w:pPr>
            <w:pStyle w:val="TableofFigures"/>
          </w:pPr>
          <w:r>
            <w:t xml:space="preserve">Figure 3 — Specification-to-verification correspondence</w:t>
          </w:r>
          <w:r>
            <w:tab/>
          </w:r>
          <w:r>
            <w:t>11</w:t>
          </w:r>
        </w:p>
        <w:p>
          <w:pPr>
            <w:pStyle w:val="TableofFigures"/>
          </w:pPr>
          <w:r>
            <w:t xml:space="preserve">Figure 4 — Traceability chain across the specification set</w:t>
          </w:r>
          <w:r>
            <w:tab/>
          </w:r>
          <w:r>
            <w:t>17</w:t>
          </w:r>
          <w:r>
            <w:fldChar w:fldCharType="end"/>
          </w:r>
        </w:p>
      </w:sdtContent>
    </w:sdt>
    <w:p>
      <w:pPr>
        <w:pBdr>
          <w:bottom w:val="single" w:color="1A7F7A" w:sz="6" w:space="2"/>
        </w:pBdr>
        <w:spacing w:after="120" w:before="240"/>
      </w:pPr>
      <w:r>
        <w:rPr>
          <w:rFonts w:ascii="Cambria" w:cs="Cambria" w:eastAsia="Cambria" w:hAnsi="Cambria"/>
          <w:b/>
          <w:bCs/>
          <w:color w:val="163A5A"/>
          <w:sz w:val="26"/>
          <w:szCs w:val="26"/>
        </w:rPr>
        <w:t xml:space="preserve">List of Tables</w:t>
      </w:r>
    </w:p>
    <w:sdt>
      <w:sdtPr>
        <w:alias w:val="List of Tables"/>
      </w:sdtPr>
      <w:sdtContent>
        <w:p>
          <w:pPr>
            <w:pStyle w:val="TableofFigures"/>
          </w:pPr>
          <w:r>
            <w:fldChar w:fldCharType="begin" w:dirty="true"/>
          </w:r>
          <w:r>
            <w:instrText xml:space="preserve">TOC \c "Table" \h</w:instrText>
          </w:r>
          <w:r>
            <w:fldChar w:fldCharType="separate"/>
          </w:r>
          <w:r>
            <w:t xml:space="preserve">Table 1 — Standards applied</w:t>
          </w:r>
          <w:r>
            <w:tab/>
          </w:r>
          <w:r>
            <w:t>6</w:t>
          </w:r>
        </w:p>
        <w:p>
          <w:pPr>
            <w:pStyle w:val="TableofFigures"/>
          </w:pPr>
          <w:r>
            <w:t xml:space="preserve">Table 2 — Business objectives</w:t>
          </w:r>
          <w:r>
            <w:tab/>
          </w:r>
          <w:r>
            <w:t>7</w:t>
          </w:r>
        </w:p>
        <w:p>
          <w:pPr>
            <w:pStyle w:val="TableofFigures"/>
          </w:pPr>
          <w:r>
            <w:t xml:space="preserve">Table 3 — Stages mapped to ISO/IEC/IEEE 12207</w:t>
          </w:r>
          <w:r>
            <w:tab/>
          </w:r>
          <w:r>
            <w:t>8</w:t>
          </w:r>
        </w:p>
        <w:p>
          <w:pPr>
            <w:pStyle w:val="TableofFigures"/>
          </w:pPr>
          <w:r>
            <w:t xml:space="preserve">Table 4 — Candidate increment plan</w:t>
          </w:r>
          <w:r>
            <w:tab/>
          </w:r>
          <w:r>
            <w:t>9</w:t>
          </w:r>
        </w:p>
        <w:p>
          <w:pPr>
            <w:pStyle w:val="TableofFigures"/>
          </w:pPr>
          <w:r>
            <w:t xml:space="preserve">Table 5 — Document set</w:t>
          </w:r>
          <w:r>
            <w:tab/>
          </w:r>
          <w:r>
            <w:t>11</w:t>
          </w:r>
        </w:p>
        <w:p>
          <w:pPr>
            <w:pStyle w:val="TableofFigures"/>
          </w:pPr>
          <w:r>
            <w:t xml:space="preserve">Table 6 — Technology baseline</w:t>
          </w:r>
          <w:r>
            <w:tab/>
          </w:r>
          <w:r>
            <w:t>12</w:t>
          </w:r>
        </w:p>
        <w:p>
          <w:pPr>
            <w:pStyle w:val="TableofFigures"/>
          </w:pPr>
          <w:r>
            <w:t xml:space="preserve">Table 7 — Integrity level assignment</w:t>
          </w:r>
          <w:r>
            <w:tab/>
          </w:r>
          <w:r>
            <w:t>13</w:t>
          </w:r>
        </w:p>
        <w:p>
          <w:pPr>
            <w:pStyle w:val="TableofFigures"/>
          </w:pPr>
          <w:r>
            <w:t xml:space="preserve">Table 8 — Test levels</w:t>
          </w:r>
          <w:r>
            <w:tab/>
          </w:r>
          <w:r>
            <w:t>13</w:t>
          </w:r>
        </w:p>
        <w:p>
          <w:pPr>
            <w:pStyle w:val="TableofFigures"/>
          </w:pPr>
          <w:r>
            <w:t xml:space="preserve">Table 9 — End-to-end scenarios</w:t>
          </w:r>
          <w:r>
            <w:tab/>
          </w:r>
          <w:r>
            <w:t>14</w:t>
          </w:r>
        </w:p>
        <w:p>
          <w:pPr>
            <w:pStyle w:val="TableofFigures"/>
          </w:pPr>
          <w:r>
            <w:t xml:space="preserve">Table 10 — Release steps</w:t>
          </w:r>
          <w:r>
            <w:tab/>
          </w:r>
          <w:r>
            <w:t>15</w:t>
          </w:r>
        </w:p>
        <w:p>
          <w:pPr>
            <w:pStyle w:val="TableofFigures"/>
          </w:pPr>
          <w:r>
            <w:t xml:space="preserve">Table 11 — Operational practices</w:t>
          </w:r>
          <w:r>
            <w:tab/>
          </w:r>
          <w:r>
            <w:t>15</w:t>
          </w:r>
        </w:p>
        <w:p>
          <w:pPr>
            <w:pStyle w:val="TableofFigures"/>
          </w:pPr>
          <w:r>
            <w:t xml:space="preserve">Table 12 — Maintenance types</w:t>
          </w:r>
          <w:r>
            <w:tab/>
          </w:r>
          <w:r>
            <w:t>15</w:t>
          </w:r>
        </w:p>
        <w:p>
          <w:pPr>
            <w:pStyle w:val="TableofFigures"/>
          </w:pPr>
          <w:r>
            <w:t xml:space="preserve">Table 13 — Baselines</w:t>
          </w:r>
          <w:r>
            <w:tab/>
          </w:r>
          <w:r>
            <w:t>16</w:t>
          </w:r>
        </w:p>
        <w:p>
          <w:pPr>
            <w:pStyle w:val="TableofFigures"/>
          </w:pPr>
          <w:r>
            <w:t xml:space="preserve">Table 14 — Responsibilities requiring an owner</w:t>
          </w:r>
          <w:r>
            <w:tab/>
          </w:r>
          <w:r>
            <w:t>16</w:t>
          </w:r>
        </w:p>
        <w:p>
          <w:pPr>
            <w:pStyle w:val="TableofFigures"/>
          </w:pPr>
          <w:r>
            <w:t xml:space="preserve">Table 15 — Consolidated risk register</w:t>
          </w:r>
          <w:r>
            <w:tab/>
          </w:r>
          <w:r>
            <w:t>16</w:t>
          </w:r>
        </w:p>
        <w:p>
          <w:pPr>
            <w:pStyle w:val="TableofFigures"/>
          </w:pPr>
          <w:r>
            <w:t xml:space="preserve">Table 16 — Objective traceability</w:t>
          </w:r>
          <w:r>
            <w:tab/>
          </w:r>
          <w:r>
            <w:t>17</w:t>
          </w:r>
        </w:p>
        <w:p>
          <w:pPr>
            <w:pStyle w:val="TableofFigures"/>
          </w:pPr>
          <w:r>
            <w:t xml:space="preserve">Table 17 — Consistency findings across the baseline</w:t>
          </w:r>
          <w:r>
            <w:tab/>
          </w:r>
          <w:r>
            <w:t>18</w:t>
          </w:r>
          <w:r>
            <w:fldChar w:fldCharType="end"/>
          </w:r>
        </w:p>
      </w:sdtContent>
    </w:sdt>
    <w:p>
      <w:pPr>
        <w:pStyle w:val="Heading1"/>
      </w:pPr>
      <w:r>
        <w:t xml:space="preserve">1 Introduction</w:t>
      </w:r>
    </w:p>
    <w:p>
      <w:pPr>
        <w:pStyle w:val="Heading2"/>
      </w:pPr>
      <w:r>
        <w:t xml:space="preserve">1.1 Purpose</w:t>
      </w:r>
    </w:p>
    <w:p>
      <w:pPr>
        <w:spacing w:after="120"/>
      </w:pPr>
      <w:r>
        <w:t xml:space="preserve">This document defines how Aura moves from discovery to operation: the life cycle stages and gates, candidate development increments, verification and validation, transition and operation, and the management controls (configuration, risk and traceability) that apply to every document in the Aura specification set.</w:t>
      </w:r>
    </w:p>
    <w:p>
      <w:pPr>
        <w:pStyle w:val="Heading2"/>
      </w:pPr>
      <w:r>
        <w:t xml:space="preserve">1.2 Scope</w:t>
      </w:r>
    </w:p>
    <w:p>
      <w:pPr>
        <w:spacing w:after="120"/>
      </w:pPr>
      <w:r>
        <w:t xml:space="preserve">In scope: the Aura product as defined in AURA-PRS-1.0 and its architecture in AURA-HLD-1.0 — case and evidence intake, validation against versioned rules, decision records, audit history, role-based access, exception handling, search and export, integration adapters and operational observability.</w:t>
      </w:r>
    </w:p>
    <w:p>
      <w:pPr>
        <w:pStyle w:val="ListParagraph"/>
        <w:numPr>
          <w:ilvl w:val="0"/>
          <w:numId w:val="2"/>
        </w:numPr>
        <w:spacing w:after="60"/>
      </w:pPr>
      <w:r>
        <w:rPr>
          <w:b/>
          <w:bCs/>
        </w:rPr>
        <w:t xml:space="preserve">Not yet determined:</w:t>
      </w:r>
      <w:r>
        <w:t xml:space="preserve"> lending product and jurisdiction (OQ-01), integrated systems (OQ-05), deployment model and hosting (PD-01), schedule, budget, team size and named owners. All are </w:t>
      </w:r>
      <w:r>
        <w:rPr>
          <w:b/>
          <w:bCs/>
          <w:color w:val="B7791F"/>
        </w:rPr>
        <w:t xml:space="preserve">TBD</w:t>
      </w:r>
      <w:r>
        <w:t xml:space="preserve">.</w:t>
      </w:r>
    </w:p>
    <w:p>
      <w:pPr>
        <w:pStyle w:val="ListParagraph"/>
        <w:numPr>
          <w:ilvl w:val="0"/>
          <w:numId w:val="2"/>
        </w:numPr>
        <w:spacing w:after="60"/>
      </w:pPr>
      <w:r>
        <w:rPr>
          <w:b/>
          <w:bCs/>
        </w:rPr>
        <w:t xml:space="preserve">Excluded until the discovery gate is passed:</w:t>
      </w:r>
      <w:r>
        <w:t xml:space="preserve"> freezing commercial scope and making compliance claims (CN-01, CN-02).</w:t>
      </w:r>
    </w:p>
    <w:p>
      <w:pPr>
        <w:pStyle w:val="Heading2"/>
      </w:pPr>
      <w:r>
        <w:t xml:space="preserve">1.3 Standards Conformance</w:t>
      </w:r>
    </w:p>
    <w:p>
      <w:pPr>
        <w:pStyle w:val="Caption"/>
        <w:keepNext/>
        <w:jc w:val="center"/>
      </w:pPr>
      <w:r>
        <w:rPr>
          <w:b/>
          <w:bCs/>
        </w:rPr>
        <w:t xml:space="preserve">Table </w:t>
      </w:r>
      <w:r>
        <w:fldChar w:fldCharType="begin"/>
      </w:r>
      <w:r>
        <w:instrText xml:space="preserve"> SEQ Table \* ARABIC </w:instrText>
      </w:r>
      <w:r>
        <w:fldChar w:fldCharType="separate"/>
      </w:r>
      <w:r>
        <w:rPr>
          <w:b/>
          <w:bCs/>
        </w:rPr>
        <w:t>1</w:t>
      </w:r>
      <w:r>
        <w:fldChar w:fldCharType="end"/>
      </w:r>
      <w:r>
        <w:rPr>
          <w:b/>
          <w:bCs/>
        </w:rPr>
        <w:t xml:space="preserve"> — </w:t>
      </w:r>
      <w:r>
        <w:rPr>
          <w:i/>
          <w:iCs/>
        </w:rPr>
        <w:t xml:space="preserve">Standards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6"/>
        <w:gridCol w:w="4202"/>
      </w:tblGrid>
      <w:tr>
        <w:trPr>
          <w:cantSplit/>
          <w:tblHeader/>
        </w:trPr>
        <w:tc>
          <w:tcPr>
            <w:tcW w:type="dxa" w:w="543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Standard</w:t>
            </w:r>
          </w:p>
        </w:tc>
        <w:tc>
          <w:tcPr>
            <w:tcW w:type="dxa" w:w="420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Applied to</w:t>
            </w:r>
          </w:p>
        </w:tc>
      </w:tr>
      <w:tr>
        <w:trPr>
          <w:cantSplit/>
        </w:trPr>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ISO/IEC/IEEE 12207:2017 Software life cycle processes</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Stage structure and process mapping (§3)</w:t>
            </w:r>
          </w:p>
        </w:tc>
      </w:tr>
      <w:tr>
        <w:trPr>
          <w:cantSplit/>
        </w:trPr>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ISO/IEC/IEEE 29148:2018 Requirements engineering</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PRS, SyRS</w:t>
            </w:r>
          </w:p>
        </w:tc>
      </w:tr>
      <w:tr>
        <w:trPr>
          <w:cantSplit/>
        </w:trPr>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IEEE 1016-2009 / ISO/IEC/IEEE 42010</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LLD</w:t>
            </w:r>
          </w:p>
        </w:tc>
      </w:tr>
      <w:tr>
        <w:trPr>
          <w:cantSplit/>
        </w:trPr>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IEEE 1012-2016 Verification and validation</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Integrity levels and V&amp;V (§5)</w:t>
            </w:r>
          </w:p>
        </w:tc>
      </w:tr>
      <w:tr>
        <w:trPr>
          <w:cantSplit/>
        </w:trPr>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ISO/IEC/IEEE 29119 Software testing</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levels (§5)</w:t>
            </w:r>
          </w:p>
        </w:tc>
      </w:tr>
      <w:tr>
        <w:trPr>
          <w:cantSplit/>
        </w:trPr>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IEEE 828-2012 Configuration management</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Baselines and change control (§7.1)</w:t>
            </w:r>
          </w:p>
        </w:tc>
      </w:tr>
      <w:tr>
        <w:trPr>
          <w:cantSplit/>
        </w:trPr>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ISO/IEC/IEEE 16085:2021 Risk management</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Risk register (§7.3)</w:t>
            </w:r>
          </w:p>
        </w:tc>
      </w:tr>
      <w:tr>
        <w:trPr>
          <w:cantSplit/>
        </w:trPr>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ISO/IEC/IEEE 16326:2019 Project management</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Phase plan and roles (§3, §7.2)</w:t>
            </w:r>
          </w:p>
        </w:tc>
      </w:tr>
    </w:tbl>
    <w:p>
      <w:pPr>
        <w:spacing w:after="120"/>
      </w:pPr>
    </w:p>
    <w:p>
      <w:pPr>
        <w:spacing w:after="120"/>
      </w:pPr>
      <w:r>
        <w:t xml:space="preserve">Tailored conformance is intended; no certification is implied. The tailoring itself is subject to approval at Gate G1 (</w:t>
      </w:r>
      <w:r>
        <w:rPr>
          <w:b/>
          <w:bCs/>
          <w:color w:val="B7791F"/>
        </w:rPr>
        <w:t xml:space="preserve">TBC</w:t>
      </w:r>
      <w:r>
        <w:t xml:space="preserve">).</w:t>
      </w:r>
    </w:p>
    <w:p>
      <w:pPr>
        <w:pStyle w:val="Heading1"/>
      </w:pPr>
      <w:r>
        <w:t xml:space="preserve">2 Product Concept</w:t>
      </w:r>
    </w:p>
    <w:p>
      <w:pPr>
        <w:pStyle w:val="Heading2"/>
      </w:pPr>
      <w:r>
        <w:t xml:space="preserve">2.1 Problem Statement (Hypothesis)</w:t>
      </w:r>
    </w:p>
    <w:p>
      <w:pPr>
        <w:spacing w:after="120"/>
      </w:pPr>
      <w:r>
        <w:t xml:space="preserve">Lending workflows may involve fragmented documents, inconsistent evidence, manual validation, opaque decision rationale, and difficulty reconstructing what information informed a decision (MP-01 – MP-05). These remain hypotheses to validate with target banks and users (MRS §2.2).</w:t>
      </w:r>
    </w:p>
    <w:p>
      <w:pPr>
        <w:pStyle w:val="Heading2"/>
      </w:pPr>
      <w:r>
        <w:t xml:space="preserve">2.2 Vision</w:t>
      </w:r>
    </w:p>
    <w:p>
      <w:pPr>
        <w:spacing w:after="120"/>
      </w:pPr>
      <w:r>
        <w:t xml:space="preserve">Aura is proposed as a workflow for collecting instrument-backed lending evidence and connecting it to reproducible decisions with traceable custody (MRS §2.1). The product objective is a controlled workflow for evidence intake, validation, decision traceability, and audit-ready reconstruction (PRS §1.2).</w:t>
      </w:r>
    </w:p>
    <w:p>
      <w:pPr>
        <w:pStyle w:val="Heading2"/>
      </w:pPr>
      <w:r>
        <w:t xml:space="preserve">2.3 Business Objectives</w:t>
      </w:r>
    </w:p>
    <w:p>
      <w:pPr>
        <w:spacing w:after="120"/>
      </w:pPr>
      <w:r>
        <w:t xml:space="preserve">Objectives restate the value hypothesis (MRS §6) and the success metrics to be baselined (MRS §7). Baselines and targets are </w:t>
      </w:r>
      <w:r>
        <w:rPr>
          <w:b/>
          <w:bCs/>
          <w:color w:val="B7791F"/>
        </w:rPr>
        <w:t xml:space="preserve">TBD</w:t>
      </w:r>
      <w:r>
        <w:t xml:space="preserve"> and are to be established through pilot measurement.</w:t>
      </w:r>
    </w:p>
    <w:p>
      <w:pPr>
        <w:pStyle w:val="Caption"/>
        <w:keepNext/>
        <w:jc w:val="center"/>
      </w:pPr>
      <w:r>
        <w:rPr>
          <w:b/>
          <w:bCs/>
        </w:rPr>
        <w:t xml:space="preserve">Table </w:t>
      </w:r>
      <w:r>
        <w:fldChar w:fldCharType="begin"/>
      </w:r>
      <w:r>
        <w:instrText xml:space="preserve"> SEQ Table \* ARABIC </w:instrText>
      </w:r>
      <w:r>
        <w:fldChar w:fldCharType="separate"/>
      </w:r>
      <w:r>
        <w:rPr>
          <w:b/>
          <w:bCs/>
        </w:rPr>
        <w:t>2</w:t>
      </w:r>
      <w:r>
        <w:fldChar w:fldCharType="end"/>
      </w:r>
      <w:r>
        <w:rPr>
          <w:b/>
          <w:bCs/>
        </w:rPr>
        <w:t xml:space="preserve"> — </w:t>
      </w:r>
      <w:r>
        <w:rPr>
          <w:i/>
          <w:iCs/>
        </w:rPr>
        <w:t xml:space="preserve">Business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650"/>
        <w:gridCol w:w="4578"/>
        <w:gridCol w:w="1447"/>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6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Objective</w:t>
            </w:r>
          </w:p>
        </w:tc>
        <w:tc>
          <w:tcPr>
            <w:tcW w:type="dxa" w:w="457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Success measure</w:t>
            </w:r>
          </w:p>
        </w:tc>
        <w:tc>
          <w:tcPr>
            <w:tcW w:type="dxa" w:w="14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Baseline / target</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BO-01</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Reduce evidence-handling friction</w:t>
            </w:r>
          </w:p>
        </w:tc>
        <w:tc>
          <w:tcPr>
            <w:tcW w:type="dxa" w:w="45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SM-01 evidence completeness rate; SM-02 median intake-to-decision time; SM-03 exception/rework rate</w:t>
            </w:r>
          </w:p>
        </w:tc>
        <w:tc>
          <w:tcPr>
            <w:tcW w:type="dxa" w:w="14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w:t>
            </w: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BO-02</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Improve traceability</w:t>
            </w:r>
          </w:p>
        </w:tc>
        <w:tc>
          <w:tcPr>
            <w:tcW w:type="dxa" w:w="45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SM-04 % decisions with full evidence lineage</w:t>
            </w:r>
          </w:p>
        </w:tc>
        <w:tc>
          <w:tcPr>
            <w:tcW w:type="dxa" w:w="14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w:t>
            </w: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BO-03</w:t>
            </w:r>
          </w:p>
        </w:tc>
        <w:tc>
          <w:tcPr>
            <w:tcW w:type="dxa" w:w="26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Audit-ready reconstruction</w:t>
            </w:r>
          </w:p>
        </w:tc>
        <w:tc>
          <w:tcPr>
            <w:tcW w:type="dxa" w:w="45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SM-05 audit reconstruction time</w:t>
            </w:r>
          </w:p>
        </w:tc>
        <w:tc>
          <w:tcPr>
            <w:tcW w:type="dxa" w:w="14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w:t>
            </w: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BO-04</w:t>
            </w:r>
          </w:p>
        </w:tc>
        <w:tc>
          <w:tcPr>
            <w:tcW w:type="dxa" w:w="26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Adoption</w:t>
            </w:r>
          </w:p>
        </w:tc>
        <w:tc>
          <w:tcPr>
            <w:tcW w:type="dxa" w:w="45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SM-06 user adoption and task completion rate</w:t>
            </w:r>
          </w:p>
        </w:tc>
        <w:tc>
          <w:tcPr>
            <w:tcW w:type="dxa" w:w="14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w:t>
            </w:r>
            <w:r>
              <w:rPr>
                <w:b/>
                <w:bCs/>
                <w:color w:val="B7791F"/>
                <w:sz w:val="18"/>
                <w:szCs w:val="18"/>
              </w:rPr>
              <w:t xml:space="preserve">TBD</w:t>
            </w:r>
          </w:p>
        </w:tc>
      </w:tr>
    </w:tbl>
    <w:p>
      <w:pPr>
        <w:spacing w:after="120"/>
      </w:pPr>
    </w:p>
    <w:p>
      <w:pPr>
        <w:pStyle w:val="Heading1"/>
      </w:pPr>
      <w:r>
        <w:t xml:space="preserve">3 Life Cycle Model and Phase Plan</w:t>
      </w:r>
    </w:p>
    <w:p>
      <w:pPr>
        <w:spacing w:after="120"/>
      </w:pPr>
      <w:r>
        <w:t xml:space="preserve">The source baseline does not prescribe a life cycle model. This document adopts a stage-gated structure tailored from ISO/IEC/IEEE 12207, in which the already-baselined documents define stages 1 – 3 and incremental delivery follows. The model choice is to be confirmed (</w:t>
      </w:r>
      <w:r>
        <w:rPr>
          <w:b/>
          <w:bCs/>
          <w:color w:val="B7791F"/>
        </w:rPr>
        <w:t xml:space="preserve">TBC</w:t>
      </w:r>
      <w:r>
        <w:t xml:space="preserve">); stage content beyond the source-derived criteria is </w:t>
      </w:r>
      <w:r>
        <w:rPr>
          <w:b/>
          <w:bCs/>
          <w:color w:val="B7791F"/>
        </w:rPr>
        <w:t xml:space="preserve">TBD</w:t>
      </w:r>
      <w:r>
        <w:t xml:space="preserve">.</w:t>
      </w:r>
    </w:p>
    <w:p>
      <w:pPr>
        <w:keepNext/>
        <w:spacing w:after="60" w:before="120" w:line="240" w:lineRule="auto"/>
        <w:jc w:val="center"/>
      </w:pPr>
      <w:r>
        <w:drawing>
          <wp:inline distT="0" distB="0" distL="0" distR="0">
            <wp:extent cx="6076950" cy="1781175"/>
            <wp:effectExtent t="0" r="0" b="0" l="0"/>
            <wp:docPr id="1" name="Aura life cycle stages and gates" descr="Aura life cycle stages and gates" title="Aura life cycle stages 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17811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w:t>
      </w:r>
      <w:r>
        <w:fldChar w:fldCharType="end"/>
      </w:r>
      <w:r>
        <w:rPr>
          <w:b/>
          <w:bCs/>
        </w:rPr>
        <w:t xml:space="preserve"> — </w:t>
      </w:r>
      <w:r>
        <w:rPr>
          <w:i/>
          <w:iCs/>
        </w:rPr>
        <w:t xml:space="preserve">Aura life cycle stages and gates</w:t>
      </w:r>
    </w:p>
    <w:p>
      <w:pPr>
        <w:pStyle w:val="Heading2"/>
      </w:pPr>
      <w:r>
        <w:t xml:space="preserve">3.1 Stages and Gates</w:t>
      </w:r>
    </w:p>
    <w:p>
      <w:pPr>
        <w:pStyle w:val="Caption"/>
        <w:keepNext/>
        <w:jc w:val="center"/>
      </w:pPr>
      <w:r>
        <w:rPr>
          <w:b/>
          <w:bCs/>
        </w:rPr>
        <w:t xml:space="preserve">Table </w:t>
      </w:r>
      <w:r>
        <w:fldChar w:fldCharType="begin"/>
      </w:r>
      <w:r>
        <w:instrText xml:space="preserve"> SEQ Table \* ARABIC </w:instrText>
      </w:r>
      <w:r>
        <w:fldChar w:fldCharType="separate"/>
      </w:r>
      <w:r>
        <w:rPr>
          <w:b/>
          <w:bCs/>
        </w:rPr>
        <w:t>3</w:t>
      </w:r>
      <w:r>
        <w:fldChar w:fldCharType="end"/>
      </w:r>
      <w:r>
        <w:rPr>
          <w:b/>
          <w:bCs/>
        </w:rPr>
        <w:t xml:space="preserve"> — </w:t>
      </w:r>
      <w:r>
        <w:rPr>
          <w:i/>
          <w:iCs/>
        </w:rPr>
        <w:t xml:space="preserve">Stages mapped to ISO/IEC/IEEE 12207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1807"/>
        <w:gridCol w:w="1686"/>
        <w:gridCol w:w="3132"/>
        <w:gridCol w:w="1327"/>
      </w:tblGrid>
      <w:tr>
        <w:trPr>
          <w:cantSplit/>
          <w:tblHeader/>
        </w:trPr>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Stage</w:t>
            </w:r>
          </w:p>
        </w:tc>
        <w:tc>
          <w:tcPr>
            <w:tcW w:type="dxa" w:w="18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12207 processes</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Entry criteria</w:t>
            </w:r>
          </w:p>
        </w:tc>
        <w:tc>
          <w:tcPr>
            <w:tcW w:type="dxa" w:w="31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Exit gate (derived)</w:t>
            </w:r>
          </w:p>
        </w:tc>
        <w:tc>
          <w:tcPr>
            <w:tcW w:type="dxa" w:w="13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Deliverables</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 Concept &amp; discovery</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Business / mission analysis</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Discovery baseline available</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G1: GC-01 – GC-04 met (MRS §10)</w:t>
            </w:r>
          </w:p>
        </w:tc>
        <w:tc>
          <w:tcPr>
            <w:tcW w:type="dxa" w:w="13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 Requirements</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Stakeholder and system requirements definition</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G1 passed</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G2: OD-01 – OD-07 resolved; verification methods confirmed; requirements baseline signed</w:t>
            </w:r>
          </w:p>
        </w:tc>
        <w:tc>
          <w:tcPr>
            <w:tcW w:type="dxa" w:w="13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SyRS</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 Architecture &amp; design</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 and design definition</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G2 passed</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G3: PD-01 – PD-07 decided; DG-01 – DG-07 resolved; architecture baseline frozen</w:t>
            </w:r>
          </w:p>
        </w:tc>
        <w:tc>
          <w:tcPr>
            <w:tcW w:type="dxa" w:w="13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LLD</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 Implementation</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Implementation, integration</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G3 passed</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G4: increment exit criteria met (§3.2)</w:t>
            </w:r>
          </w:p>
        </w:tc>
        <w:tc>
          <w:tcPr>
            <w:tcW w:type="dxa" w:w="13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Code, migrations (</w:t>
            </w:r>
            <w:r>
              <w:rPr>
                <w:b/>
                <w:bCs/>
                <w:color w:val="B7791F"/>
                <w:sz w:val="18"/>
                <w:szCs w:val="18"/>
              </w:rPr>
              <w:t xml:space="preserve">TBD</w:t>
            </w:r>
            <w:r>
              <w:rPr>
                <w:b w:val="false"/>
                <w:bCs w:val="false"/>
                <w:color w:val="222222"/>
                <w:sz w:val="18"/>
                <w:szCs w:val="18"/>
              </w:rPr>
              <w:t xml:space="preserve">)</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5 Integration &amp; V&amp;V</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Verification, validation</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Increment built</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G5: tests in §5 pass at thresholds (OD-07)</w:t>
            </w:r>
          </w:p>
        </w:tc>
        <w:tc>
          <w:tcPr>
            <w:tcW w:type="dxa" w:w="13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Test reports</w:t>
            </w:r>
          </w:p>
        </w:tc>
      </w:tr>
      <w:tr>
        <w:trPr>
          <w:cantSplit/>
        </w:trPr>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6 Transition</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Transition</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 increments verified; DoD met</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G6: release approval (approvers </w:t>
            </w:r>
            <w:r>
              <w:rPr>
                <w:b/>
                <w:bCs/>
                <w:color w:val="B7791F"/>
                <w:sz w:val="18"/>
                <w:szCs w:val="18"/>
              </w:rPr>
              <w:t xml:space="preserve">TBD</w:t>
            </w:r>
            <w:r>
              <w:rPr>
                <w:b w:val="false"/>
                <w:bCs w:val="false"/>
                <w:color w:val="222222"/>
                <w:sz w:val="18"/>
                <w:szCs w:val="18"/>
              </w:rPr>
              <w:t xml:space="preserve">)</w:t>
            </w:r>
          </w:p>
        </w:tc>
        <w:tc>
          <w:tcPr>
            <w:tcW w:type="dxa" w:w="13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Release package (</w:t>
            </w:r>
            <w:r>
              <w:rPr>
                <w:b/>
                <w:bCs/>
                <w:color w:val="B7791F"/>
                <w:sz w:val="18"/>
                <w:szCs w:val="18"/>
              </w:rPr>
              <w:t xml:space="preserve">TBD</w:t>
            </w:r>
            <w:r>
              <w:rPr>
                <w:b w:val="false"/>
                <w:bCs w:val="false"/>
                <w:color w:val="222222"/>
                <w:sz w:val="18"/>
                <w:szCs w:val="18"/>
              </w:rPr>
              <w:t xml:space="preserve">)</w:t>
            </w:r>
          </w:p>
        </w:tc>
      </w:tr>
      <w:tr>
        <w:trPr>
          <w:cantSplit/>
        </w:trPr>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7 Operation &amp; maintenance</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Operation, maintenance</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Release deployed</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Ongoing review of OP-01 – OP-07</w:t>
            </w:r>
          </w:p>
        </w:tc>
        <w:tc>
          <w:tcPr>
            <w:tcW w:type="dxa" w:w="13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Monitoring, backups, change records</w:t>
            </w:r>
          </w:p>
        </w:tc>
      </w:tr>
    </w:tbl>
    <w:p>
      <w:pPr>
        <w:spacing w:after="120"/>
      </w:pPr>
    </w:p>
    <w:p>
      <w:pPr>
        <w:pStyle w:val="Heading2"/>
      </w:pPr>
      <w:r>
        <w:t xml:space="preserve">3.2 Development Increments</w:t>
      </w:r>
    </w:p>
    <w:p>
      <w:pPr>
        <w:spacing w:after="120"/>
      </w:pPr>
      <w:r>
        <w:t xml:space="preserve">Increments, durations and dates are not defined in the baseline. The candidate decomposition below follows the component dependencies and data flow in HLD §2.3 and is Derived; it requires approval at Gate G3.</w:t>
      </w:r>
    </w:p>
    <w:p>
      <w:pPr>
        <w:keepNext/>
        <w:spacing w:after="60" w:before="120" w:line="240" w:lineRule="auto"/>
        <w:jc w:val="center"/>
      </w:pPr>
      <w:r>
        <w:drawing>
          <wp:inline distT="0" distB="0" distL="0" distR="0">
            <wp:extent cx="4572000" cy="5943600"/>
            <wp:effectExtent t="0" r="0" b="0" l="0"/>
            <wp:docPr id="1" name="Candidate increment dependencies" descr="Candidate increment dependencies" title="Candidate increment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436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2</w:t>
      </w:r>
      <w:r>
        <w:fldChar w:fldCharType="end"/>
      </w:r>
      <w:r>
        <w:rPr>
          <w:b/>
          <w:bCs/>
        </w:rPr>
        <w:t xml:space="preserve"> — </w:t>
      </w:r>
      <w:r>
        <w:rPr>
          <w:i/>
          <w:iCs/>
        </w:rPr>
        <w:t xml:space="preserve">Candidate increment dependencies</w:t>
      </w:r>
    </w:p>
    <w:p>
      <w:pPr>
        <w:pStyle w:val="Caption"/>
        <w:keepNext/>
        <w:jc w:val="center"/>
      </w:pPr>
      <w:r>
        <w:rPr>
          <w:b/>
          <w:bCs/>
        </w:rPr>
        <w:t xml:space="preserve">Table </w:t>
      </w:r>
      <w:r>
        <w:fldChar w:fldCharType="begin"/>
      </w:r>
      <w:r>
        <w:instrText xml:space="preserve"> SEQ Table \* ARABIC </w:instrText>
      </w:r>
      <w:r>
        <w:fldChar w:fldCharType="separate"/>
      </w:r>
      <w:r>
        <w:rPr>
          <w:b/>
          <w:bCs/>
        </w:rPr>
        <w:t>4</w:t>
      </w:r>
      <w:r>
        <w:fldChar w:fldCharType="end"/>
      </w:r>
      <w:r>
        <w:rPr>
          <w:b/>
          <w:bCs/>
        </w:rPr>
        <w:t xml:space="preserve"> — </w:t>
      </w:r>
      <w:r>
        <w:rPr>
          <w:i/>
          <w:iCs/>
        </w:rPr>
        <w:t xml:space="preserve">Candidate increment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1686"/>
        <w:gridCol w:w="3132"/>
        <w:gridCol w:w="3132"/>
        <w:gridCol w:w="966"/>
      </w:tblGrid>
      <w:tr>
        <w:trPr>
          <w:cantSplit/>
          <w:tblHeader/>
        </w:trPr>
        <w:tc>
          <w:tcPr>
            <w:tcW w:type="dxa" w:w="7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Increment</w:t>
            </w:r>
          </w:p>
        </w:tc>
        <w:tc>
          <w:tcPr>
            <w:tcW w:type="dxa" w:w="31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Scope (components / requirements)</w:t>
            </w:r>
          </w:p>
        </w:tc>
        <w:tc>
          <w:tcPr>
            <w:tcW w:type="dxa" w:w="31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Exit criterion (derived)</w:t>
            </w:r>
          </w:p>
        </w:tc>
        <w:tc>
          <w:tcPr>
            <w:tcW w:type="dxa" w:w="96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Duration</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I-0</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Foundation</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C-02, C-09, C-10; SYS-AC-002, SYS-OB-002, SYS-OP-002, SYS-OP-003</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Authenticated request reaches a service; health endpoint responds</w:t>
            </w:r>
          </w:p>
        </w:tc>
        <w:tc>
          <w:tcPr>
            <w:tcW w:type="dxa" w:w="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I-1</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&amp; intake</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 C-04; PR-01, PR-02</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Scenario E2E-01 passes</w:t>
            </w:r>
          </w:p>
        </w:tc>
        <w:tc>
          <w:tcPr>
            <w:tcW w:type="dxa" w:w="9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I-2</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 PR-03, PR-04</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Scenario E2E-02 passes</w:t>
            </w:r>
          </w:p>
        </w:tc>
        <w:tc>
          <w:tcPr>
            <w:tcW w:type="dxa" w:w="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I-3</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&amp; audit</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 C-07; PR-05, PR-06</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Scenarios E2E-03, E2E-04 pass</w:t>
            </w:r>
          </w:p>
        </w:tc>
        <w:tc>
          <w:tcPr>
            <w:tcW w:type="dxa" w:w="9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I-4</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operations</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Exceptions, search, export; PR-08, PR-09, PR-10</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Scenarios E2E-05, E2E-06 pass</w:t>
            </w:r>
          </w:p>
        </w:tc>
        <w:tc>
          <w:tcPr>
            <w:tcW w:type="dxa" w:w="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I-5</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PR-11 (after OD-04)</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Scenario E2E-07 passes; adapter contract documented</w:t>
            </w:r>
          </w:p>
        </w:tc>
        <w:tc>
          <w:tcPr>
            <w:tcW w:type="dxa" w:w="9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I-6</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Hardening</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NFR-01 – NFR-06; PR-12; OP-06</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Definition of Done met (§5.4)</w:t>
            </w:r>
          </w:p>
        </w:tc>
        <w:tc>
          <w:tcPr>
            <w:tcW w:type="dxa" w:w="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3.3 First Vertical Slice</w:t>
      </w:r>
    </w:p>
    <w:p>
      <w:pPr>
        <w:spacing w:after="120"/>
      </w:pPr>
      <w:r>
        <w:t xml:space="preserve">The architecture is proven when the end-to-end data flow of HLD §2.3 operates for one case: case creation → evidence upload and metadata capture → completeness and validation checks → reviewer workflow → decision record → audit trail and export. The slice scope is Derived (</w:t>
      </w:r>
      <w:r>
        <w:rPr>
          <w:b/>
          <w:bCs/>
          <w:color w:val="B7791F"/>
        </w:rPr>
        <w:t xml:space="preserve">TBC</w:t>
      </w:r>
      <w:r>
        <w:t xml:space="preserve">).</w:t>
      </w:r>
    </w:p>
    <w:p>
      <w:pPr>
        <w:pStyle w:val="Heading1"/>
      </w:pPr>
      <w:r>
        <w:t xml:space="preserve">4 Requirements and Design Baseline</w:t>
      </w:r>
    </w:p>
    <w:p>
      <w:pPr>
        <w:keepNext/>
        <w:spacing w:after="60" w:before="120" w:line="240" w:lineRule="auto"/>
        <w:jc w:val="center"/>
      </w:pPr>
      <w:r>
        <w:drawing>
          <wp:inline distT="0" distB="0" distL="0" distR="0">
            <wp:extent cx="4800600" cy="5762625"/>
            <wp:effectExtent t="0" r="0" b="0" l="0"/>
            <wp:docPr id="1" name="Specification-to-verification correspondence" descr="Specification-to-verification correspondence" title="Specification-to-verification correspo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576262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3</w:t>
      </w:r>
      <w:r>
        <w:fldChar w:fldCharType="end"/>
      </w:r>
      <w:r>
        <w:rPr>
          <w:b/>
          <w:bCs/>
        </w:rPr>
        <w:t xml:space="preserve"> — </w:t>
      </w:r>
      <w:r>
        <w:rPr>
          <w:i/>
          <w:iCs/>
        </w:rPr>
        <w:t xml:space="preserve">Specification-to-verification correspondence</w:t>
      </w:r>
    </w:p>
    <w:p>
      <w:pPr>
        <w:pStyle w:val="Caption"/>
        <w:keepNext/>
        <w:jc w:val="center"/>
      </w:pPr>
      <w:r>
        <w:rPr>
          <w:b/>
          <w:bCs/>
        </w:rPr>
        <w:t xml:space="preserve">Table </w:t>
      </w:r>
      <w:r>
        <w:fldChar w:fldCharType="begin"/>
      </w:r>
      <w:r>
        <w:instrText xml:space="preserve"> SEQ Table \* ARABIC </w:instrText>
      </w:r>
      <w:r>
        <w:fldChar w:fldCharType="separate"/>
      </w:r>
      <w:r>
        <w:rPr>
          <w:b/>
          <w:bCs/>
        </w:rPr>
        <w:t>5</w:t>
      </w:r>
      <w:r>
        <w:fldChar w:fldCharType="end"/>
      </w:r>
      <w:r>
        <w:rPr>
          <w:b/>
          <w:bCs/>
        </w:rPr>
        <w:t xml:space="preserve"> — </w:t>
      </w:r>
      <w:r>
        <w:rPr>
          <w:i/>
          <w:iCs/>
        </w:rPr>
        <w:t xml:space="preserve">Document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325"/>
        <w:gridCol w:w="1566"/>
        <w:gridCol w:w="2410"/>
      </w:tblGrid>
      <w:tr>
        <w:trPr>
          <w:cantSplit/>
          <w:tblHeader/>
        </w:trPr>
        <w:tc>
          <w:tcPr>
            <w:tcW w:type="dxa" w:w="433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Document</w:t>
            </w:r>
          </w:p>
        </w:tc>
        <w:tc>
          <w:tcPr>
            <w:tcW w:type="dxa" w:w="132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Stage produced</w:t>
            </w:r>
          </w:p>
        </w:tc>
        <w:tc>
          <w:tcPr>
            <w:tcW w:type="dxa" w:w="156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Baseline</w:t>
            </w:r>
          </w:p>
        </w:tc>
        <w:tc>
          <w:tcPr>
            <w:tcW w:type="dxa" w:w="241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Standard</w:t>
            </w:r>
          </w:p>
        </w:tc>
      </w:tr>
      <w:tr>
        <w:trPr>
          <w:cantSplit/>
        </w:trPr>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AURA-MRS-1.0 Market Requirements Specification</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Functional</w:t>
            </w:r>
          </w:p>
        </w:tc>
        <w:tc>
          <w:tcPr>
            <w:tcW w:type="dxa" w:w="24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 (BRS)</w:t>
            </w:r>
          </w:p>
        </w:tc>
      </w:tr>
      <w:tr>
        <w:trPr>
          <w:cantSplit/>
        </w:trPr>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AURA-PRS-1.0 Product Requirements Specification</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Functional</w:t>
            </w:r>
          </w:p>
        </w:tc>
        <w:tc>
          <w:tcPr>
            <w:tcW w:type="dxa" w:w="24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 (StRS/SRS)</w:t>
            </w:r>
          </w:p>
        </w:tc>
      </w:tr>
      <w:tr>
        <w:trPr>
          <w:cantSplit/>
        </w:trPr>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AURA-SYRS-1.0 System Requirements Specification</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Functional</w:t>
            </w:r>
          </w:p>
        </w:tc>
        <w:tc>
          <w:tcPr>
            <w:tcW w:type="dxa" w:w="24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 §9.4</w:t>
            </w:r>
          </w:p>
        </w:tc>
      </w:tr>
      <w:tr>
        <w:trPr>
          <w:cantSplit/>
        </w:trPr>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AURA-HLD-1.0 High-Level Design</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3</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w:t>
            </w:r>
          </w:p>
        </w:tc>
        <w:tc>
          <w:tcPr>
            <w:tcW w:type="dxa" w:w="24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IEEE 1016 / ISO/IEC/IEEE 42010</w:t>
            </w:r>
          </w:p>
        </w:tc>
      </w:tr>
      <w:tr>
        <w:trPr>
          <w:cantSplit/>
        </w:trPr>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AURA-LLD-1.0 Low-Level Design</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3</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w:t>
            </w:r>
          </w:p>
        </w:tc>
        <w:tc>
          <w:tcPr>
            <w:tcW w:type="dxa" w:w="24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IEEE 1016</w:t>
            </w:r>
          </w:p>
        </w:tc>
      </w:tr>
      <w:tr>
        <w:trPr>
          <w:cantSplit/>
        </w:trPr>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AURA-PDLC-1.0 Product Development Life Cycle</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Governing</w:t>
            </w:r>
          </w:p>
        </w:tc>
        <w:tc>
          <w:tcPr>
            <w:tcW w:type="dxa" w:w="24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12207 (tailored)</w:t>
            </w:r>
          </w:p>
        </w:tc>
      </w:tr>
    </w:tbl>
    <w:p>
      <w:pPr>
        <w:spacing w:after="120"/>
      </w:pPr>
    </w:p>
    <w:p>
      <w:pPr>
        <w:pStyle w:val="Heading2"/>
      </w:pPr>
      <w:r>
        <w:t xml:space="preserve">4.1 Technology Baseline</w:t>
      </w:r>
    </w:p>
    <w:p>
      <w:pPr>
        <w:pStyle w:val="Caption"/>
        <w:keepNext/>
        <w:jc w:val="center"/>
      </w:pPr>
      <w:r>
        <w:rPr>
          <w:b/>
          <w:bCs/>
        </w:rPr>
        <w:t xml:space="preserve">Table </w:t>
      </w:r>
      <w:r>
        <w:fldChar w:fldCharType="begin"/>
      </w:r>
      <w:r>
        <w:instrText xml:space="preserve"> SEQ Table \* ARABIC </w:instrText>
      </w:r>
      <w:r>
        <w:fldChar w:fldCharType="separate"/>
      </w:r>
      <w:r>
        <w:rPr>
          <w:b/>
          <w:bCs/>
        </w:rPr>
        <w:t>6</w:t>
      </w:r>
      <w:r>
        <w:fldChar w:fldCharType="end"/>
      </w:r>
      <w:r>
        <w:rPr>
          <w:b/>
          <w:bCs/>
        </w:rPr>
        <w:t xml:space="preserve"> — </w:t>
      </w:r>
      <w:r>
        <w:rPr>
          <w:i/>
          <w:iCs/>
        </w:rPr>
        <w:t xml:space="preserve">Technology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4"/>
        <w:gridCol w:w="2471"/>
        <w:gridCol w:w="3213"/>
      </w:tblGrid>
      <w:tr>
        <w:trPr>
          <w:cantSplit/>
          <w:tblHeader/>
        </w:trPr>
        <w:tc>
          <w:tcPr>
            <w:tcW w:type="dxa" w:w="395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Layer</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Technology</w:t>
            </w:r>
          </w:p>
        </w:tc>
        <w:tc>
          <w:tcPr>
            <w:tcW w:type="dxa" w:w="321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Decision</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Client (C-01)</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API gateway / identity (C-02)</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PD-03</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Domain services (C-03 – C-07)</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Eventing</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PD-05</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Relational store / object storage (C-09)</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PD-04</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Encryption / key management</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PD-06</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Monitoring, logging, backup (C-10)</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Hosting (cloud / on-premise)</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PD-01</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Tenancy</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PD-02</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DR objectives</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21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PD-07</w:t>
            </w:r>
          </w:p>
        </w:tc>
      </w:tr>
    </w:tbl>
    <w:p>
      <w:pPr>
        <w:spacing w:after="120"/>
      </w:pPr>
    </w:p>
    <w:p>
      <w:pPr>
        <w:pStyle w:val="Heading2"/>
      </w:pPr>
      <w:r>
        <w:t xml:space="preserve">4.2 Migration</w:t>
      </w:r>
    </w:p>
    <w:p>
      <w:pPr>
        <w:spacing w:after="120"/>
      </w:pPr>
      <w:r>
        <w:t xml:space="preserve">No legacy system or data migration is identified in the baseline. Whether data from existing LOS/LMS/core systems is migrated or integrated is </w:t>
      </w:r>
      <w:r>
        <w:rPr>
          <w:b/>
          <w:bCs/>
          <w:color w:val="B7791F"/>
        </w:rPr>
        <w:t xml:space="preserve">TBD</w:t>
      </w:r>
      <w:r>
        <w:t xml:space="preserve"> (OQ-05).</w:t>
      </w:r>
    </w:p>
    <w:p>
      <w:pPr>
        <w:pStyle w:val="Heading1"/>
      </w:pPr>
      <w:r>
        <w:t xml:space="preserve">5 Verification and Validation</w:t>
      </w:r>
    </w:p>
    <w:p>
      <w:pPr>
        <w:pStyle w:val="Heading2"/>
      </w:pPr>
      <w:r>
        <w:t xml:space="preserve">5.1 Integrity Levels (IEEE 1012)</w:t>
      </w:r>
    </w:p>
    <w:p>
      <w:pPr>
        <w:spacing w:after="120"/>
      </w:pPr>
      <w:r>
        <w:t xml:space="preserve">Integrity levels are not assigned in the baseline. The table records the concern that bears on each component's level; the level itself is </w:t>
      </w:r>
      <w:r>
        <w:rPr>
          <w:b/>
          <w:bCs/>
          <w:color w:val="B7791F"/>
        </w:rPr>
        <w:t xml:space="preserve">TBD</w:t>
      </w:r>
      <w:r>
        <w:t xml:space="preserve"> and is to be set at Gate G3.</w:t>
      </w:r>
    </w:p>
    <w:p>
      <w:pPr>
        <w:pStyle w:val="Caption"/>
        <w:keepNext/>
        <w:jc w:val="center"/>
      </w:pPr>
      <w:r>
        <w:rPr>
          <w:b/>
          <w:bCs/>
        </w:rPr>
        <w:t xml:space="preserve">Table </w:t>
      </w:r>
      <w:r>
        <w:fldChar w:fldCharType="begin"/>
      </w:r>
      <w:r>
        <w:instrText xml:space="preserve"> SEQ Table \* ARABIC </w:instrText>
      </w:r>
      <w:r>
        <w:fldChar w:fldCharType="separate"/>
      </w:r>
      <w:r>
        <w:rPr>
          <w:b/>
          <w:bCs/>
        </w:rPr>
        <w:t>7</w:t>
      </w:r>
      <w:r>
        <w:fldChar w:fldCharType="end"/>
      </w:r>
      <w:r>
        <w:rPr>
          <w:b/>
          <w:bCs/>
        </w:rPr>
        <w:t xml:space="preserve"> — </w:t>
      </w:r>
      <w:r>
        <w:rPr>
          <w:i/>
          <w:iCs/>
        </w:rPr>
        <w:t xml:space="preserve">Integrity level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4942"/>
        <w:gridCol w:w="1731"/>
      </w:tblGrid>
      <w:tr>
        <w:trPr>
          <w:cantSplit/>
          <w:tblHeader/>
        </w:trPr>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Component</w:t>
            </w:r>
          </w:p>
        </w:tc>
        <w:tc>
          <w:tcPr>
            <w:tcW w:type="dxa" w:w="494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Relevant concern (from baseline)</w:t>
            </w:r>
          </w:p>
        </w:tc>
        <w:tc>
          <w:tcPr>
            <w:tcW w:type="dxa" w:w="173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Integrity level</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C-02 API gateway &amp; identity</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control, unauthorized access (PR-07, EC-05)</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C-07 Audit / event history</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Tamper-evident history (PR-06)</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C-06 Decision record</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traceability; finalized decisions (PR-05, EC-07)</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C-05 Validation / rules</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rules (PR-03, AP-04)</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C-04 Evidence ingestion</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Custody; checksums (SC-03)</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C-08 Integration adapters</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correctness (AD-06, EC-04)</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C-09 Data tier</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Protected storage; retention (SC-03, SC-05)</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C-03, C-01, C-10</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Workflow, usability, observability</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5.2 Test Levels (ISO/IEC/IEEE 29119)</w:t>
      </w:r>
    </w:p>
    <w:p>
      <w:pPr>
        <w:pStyle w:val="Caption"/>
        <w:keepNext/>
        <w:jc w:val="center"/>
      </w:pPr>
      <w:r>
        <w:rPr>
          <w:b/>
          <w:bCs/>
        </w:rPr>
        <w:t xml:space="preserve">Table </w:t>
      </w:r>
      <w:r>
        <w:fldChar w:fldCharType="begin"/>
      </w:r>
      <w:r>
        <w:instrText xml:space="preserve"> SEQ Table \* ARABIC </w:instrText>
      </w:r>
      <w:r>
        <w:fldChar w:fldCharType="separate"/>
      </w:r>
      <w:r>
        <w:rPr>
          <w:b/>
          <w:bCs/>
        </w:rPr>
        <w:t>8</w:t>
      </w:r>
      <w:r>
        <w:fldChar w:fldCharType="end"/>
      </w:r>
      <w:r>
        <w:rPr>
          <w:b/>
          <w:bCs/>
        </w:rPr>
        <w:t xml:space="preserve"> — </w:t>
      </w:r>
      <w:r>
        <w:rPr>
          <w:i/>
          <w:iCs/>
        </w:rPr>
        <w:t xml:space="preserve">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2471"/>
        <w:gridCol w:w="2718"/>
        <w:gridCol w:w="1235"/>
        <w:gridCol w:w="1485"/>
      </w:tblGrid>
      <w:tr>
        <w:trPr>
          <w:cantSplit/>
          <w:tblHeader/>
        </w:trPr>
        <w:tc>
          <w:tcPr>
            <w:tcW w:type="dxa" w:w="17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Level</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Basis</w:t>
            </w:r>
          </w:p>
        </w:tc>
        <w:tc>
          <w:tcPr>
            <w:tcW w:type="dxa" w:w="271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Scope</w:t>
            </w:r>
          </w:p>
        </w:tc>
        <w:tc>
          <w:tcPr>
            <w:tcW w:type="dxa" w:w="123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Tooling</w:t>
            </w:r>
          </w:p>
        </w:tc>
        <w:tc>
          <w:tcPr>
            <w:tcW w:type="dxa" w:w="14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Frequency</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Unit</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AURA-LLD-1.0 §9 (UT-01 – UT-18)</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Design units</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Integration</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IF-01 – IF-07</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Component interfaces</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System</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AURA-SYRS-1.0 §4</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 requirements</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End-to-end</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§5.3 scenarios</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Critical paths (NFR-06)</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Security</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SC-01 – SC-07; EC-05</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secrets, logging</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Performance</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SYS-PF-001</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Targets </w:t>
            </w:r>
            <w:r>
              <w:rPr>
                <w:b/>
                <w:bCs/>
                <w:color w:val="B7791F"/>
                <w:sz w:val="18"/>
                <w:szCs w:val="18"/>
              </w:rPr>
              <w:t xml:space="preserve">TBD</w:t>
            </w:r>
            <w:r>
              <w:rPr>
                <w:b w:val="false"/>
                <w:bCs w:val="false"/>
                <w:color w:val="222222"/>
                <w:sz w:val="18"/>
                <w:szCs w:val="18"/>
              </w:rPr>
              <w:t xml:space="preserve"> (NFR-03)</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Backup / restore</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OP-06; SYS-OP-005</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Restore test</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Acceptance (UAT)</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§8</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 PR-12 per role UC-01 – UC-05</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Pre-release</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Market validation</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§7</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SM-01 – SM-06 pilot measures</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Pilot</w:t>
            </w:r>
          </w:p>
        </w:tc>
      </w:tr>
    </w:tbl>
    <w:p>
      <w:pPr>
        <w:spacing w:after="120"/>
      </w:pPr>
    </w:p>
    <w:p>
      <w:pPr>
        <w:pStyle w:val="Heading2"/>
      </w:pPr>
      <w:r>
        <w:t xml:space="preserve">5.3 Mandatory End-to-End Scenarios</w:t>
      </w:r>
    </w:p>
    <w:p>
      <w:pPr>
        <w:spacing w:after="120"/>
      </w:pPr>
      <w:r>
        <w:t xml:space="preserve">Scenarios are derived from HLD §7 and PRS §6. Expected results for exception cases are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9</w:t>
      </w:r>
      <w:r>
        <w:fldChar w:fldCharType="end"/>
      </w:r>
      <w:r>
        <w:rPr>
          <w:b/>
          <w:bCs/>
        </w:rPr>
        <w:t xml:space="preserve"> — </w:t>
      </w:r>
      <w:r>
        <w:rPr>
          <w:i/>
          <w:iCs/>
        </w:rPr>
        <w:t xml:space="preserve">End-to-end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1927"/>
        <w:gridCol w:w="1929"/>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81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Scenario</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Requirements</w:t>
            </w:r>
          </w:p>
        </w:tc>
        <w:tc>
          <w:tcPr>
            <w:tcW w:type="dxa" w:w="19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Expected result</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E2E-01</w:t>
            </w:r>
          </w:p>
        </w:tc>
        <w:tc>
          <w:tcPr>
            <w:tcW w:type="dxa" w:w="48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Create case and attach evidence with metadata; checksum recorded</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PR-02</w:t>
            </w:r>
          </w:p>
        </w:tc>
        <w:tc>
          <w:tcPr>
            <w:tcW w:type="dxa" w:w="19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E2E-02</w:t>
            </w:r>
          </w:p>
        </w:tc>
        <w:tc>
          <w:tcPr>
            <w:tcW w:type="dxa" w:w="48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evaluated against a rule set version; status visible</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 PR-04</w:t>
            </w:r>
          </w:p>
        </w:tc>
        <w:tc>
          <w:tcPr>
            <w:tcW w:type="dxa" w:w="19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E2E-03</w:t>
            </w:r>
          </w:p>
        </w:tc>
        <w:tc>
          <w:tcPr>
            <w:tcW w:type="dxa" w:w="48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recorded with rationale, actor, evidence and rule versions</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19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E2E-04</w:t>
            </w:r>
          </w:p>
        </w:tc>
        <w:tc>
          <w:tcPr>
            <w:tcW w:type="dxa" w:w="48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Material changes appear in tamper-evident history</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w:t>
            </w:r>
          </w:p>
        </w:tc>
        <w:tc>
          <w:tcPr>
            <w:tcW w:type="dxa" w:w="19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E2E-05</w:t>
            </w:r>
          </w:p>
        </w:tc>
        <w:tc>
          <w:tcPr>
            <w:tcW w:type="dxa" w:w="48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assigned, commented, resolved and escalated</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w:t>
            </w:r>
          </w:p>
        </w:tc>
        <w:tc>
          <w:tcPr>
            <w:tcW w:type="dxa" w:w="19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E2E-06</w:t>
            </w:r>
          </w:p>
        </w:tc>
        <w:tc>
          <w:tcPr>
            <w:tcW w:type="dxa" w:w="48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Authorized user searches and exports a case; unauthorized user denied</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 PR-09, PR-10</w:t>
            </w:r>
          </w:p>
        </w:tc>
        <w:tc>
          <w:tcPr>
            <w:tcW w:type="dxa" w:w="19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E2E-07</w:t>
            </w:r>
          </w:p>
        </w:tc>
        <w:tc>
          <w:tcPr>
            <w:tcW w:type="dxa" w:w="48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timeout retried idempotently; completion confirmed</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 EC-04</w:t>
            </w:r>
          </w:p>
        </w:tc>
        <w:tc>
          <w:tcPr>
            <w:tcW w:type="dxa" w:w="19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E2E-08</w:t>
            </w:r>
          </w:p>
        </w:tc>
        <w:tc>
          <w:tcPr>
            <w:tcW w:type="dxa" w:w="48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cases EC-01 – EC-03, EC-06, EC-07</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§6</w:t>
            </w:r>
          </w:p>
        </w:tc>
        <w:tc>
          <w:tcPr>
            <w:tcW w:type="dxa" w:w="19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E2E-09</w:t>
            </w:r>
          </w:p>
        </w:tc>
        <w:tc>
          <w:tcPr>
            <w:tcW w:type="dxa" w:w="48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Health, readiness and structured logs; backup restored</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 OP-06</w:t>
            </w:r>
          </w:p>
        </w:tc>
        <w:tc>
          <w:tcPr>
            <w:tcW w:type="dxa" w:w="19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 acceptance criteria</w:t>
            </w:r>
          </w:p>
        </w:tc>
      </w:tr>
    </w:tbl>
    <w:p>
      <w:pPr>
        <w:spacing w:after="120"/>
      </w:pPr>
    </w:p>
    <w:p>
      <w:pPr>
        <w:pStyle w:val="Heading2"/>
      </w:pPr>
      <w:r>
        <w:t xml:space="preserve">5.4 Definition of Done</w:t>
      </w:r>
    </w:p>
    <w:p>
      <w:pPr>
        <w:spacing w:after="120"/>
      </w:pPr>
      <w:r>
        <w:t xml:space="preserve">Derived from the acceptance criteria and controls of the baseline; quantitative thresholds are </w:t>
      </w:r>
      <w:r>
        <w:rPr>
          <w:b/>
          <w:bCs/>
          <w:color w:val="B7791F"/>
        </w:rPr>
        <w:t xml:space="preserve">TBD</w:t>
      </w:r>
      <w:r>
        <w:t xml:space="preserve"> (OD-07).</w:t>
      </w:r>
    </w:p>
    <w:p>
      <w:pPr>
        <w:pStyle w:val="ListParagraph"/>
        <w:numPr>
          <w:ilvl w:val="0"/>
          <w:numId w:val="2"/>
        </w:numPr>
        <w:spacing w:after="60"/>
      </w:pPr>
      <w:r>
        <w:t xml:space="preserve">PR-01 – PR-12 meet their acceptance criteria at agreed thresholds (PRS §8).</w:t>
      </w:r>
    </w:p>
    <w:p>
      <w:pPr>
        <w:pStyle w:val="ListParagraph"/>
        <w:numPr>
          <w:ilvl w:val="0"/>
          <w:numId w:val="2"/>
        </w:numPr>
        <w:spacing w:after="60"/>
      </w:pPr>
      <w:r>
        <w:t xml:space="preserve">Every material change is recorded as append-only or tamper-evident history (PR-06).</w:t>
      </w:r>
    </w:p>
    <w:p>
      <w:pPr>
        <w:pStyle w:val="ListParagraph"/>
        <w:numPr>
          <w:ilvl w:val="0"/>
          <w:numId w:val="2"/>
        </w:numPr>
        <w:spacing w:after="60"/>
      </w:pPr>
      <w:r>
        <w:t xml:space="preserve">Every integration has a documented adapter contract before it is committed (PR-11).</w:t>
      </w:r>
    </w:p>
    <w:p>
      <w:pPr>
        <w:pStyle w:val="ListParagraph"/>
        <w:numPr>
          <w:ilvl w:val="0"/>
          <w:numId w:val="2"/>
        </w:numPr>
        <w:spacing w:after="60"/>
      </w:pPr>
      <w:r>
        <w:t xml:space="preserve">Security controls SC-01 – SC-07 are verified; secrets are outside source control.</w:t>
      </w:r>
    </w:p>
    <w:p>
      <w:pPr>
        <w:pStyle w:val="ListParagraph"/>
        <w:numPr>
          <w:ilvl w:val="0"/>
          <w:numId w:val="2"/>
        </w:numPr>
        <w:spacing w:after="60"/>
      </w:pPr>
      <w:r>
        <w:t xml:space="preserve">Structured logs, health checks and actionable error reporting are in place (PR-12).</w:t>
      </w:r>
    </w:p>
    <w:p>
      <w:pPr>
        <w:pStyle w:val="ListParagraph"/>
        <w:numPr>
          <w:ilvl w:val="0"/>
          <w:numId w:val="2"/>
        </w:numPr>
        <w:spacing w:after="60"/>
      </w:pPr>
      <w:r>
        <w:t xml:space="preserve">Backup/restore has been tested and rollback is documented (OP-06, OP-07).</w:t>
      </w:r>
    </w:p>
    <w:p>
      <w:pPr>
        <w:pStyle w:val="ListParagraph"/>
        <w:numPr>
          <w:ilvl w:val="0"/>
          <w:numId w:val="2"/>
        </w:numPr>
        <w:spacing w:after="60"/>
      </w:pPr>
      <w:r>
        <w:t xml:space="preserve">Open data-model gaps DG-01 – DG-07 are resolved or formally accepted.</w:t>
      </w:r>
    </w:p>
    <w:p>
      <w:pPr>
        <w:pStyle w:val="ListParagraph"/>
        <w:numPr>
          <w:ilvl w:val="0"/>
          <w:numId w:val="2"/>
        </w:numPr>
        <w:spacing w:after="60"/>
      </w:pPr>
      <w:r>
        <w:t xml:space="preserve">No compliance claim is made unless the discovery gate is passed (CN-02).</w:t>
      </w:r>
    </w:p>
    <w:p>
      <w:pPr>
        <w:pStyle w:val="Heading1"/>
      </w:pPr>
      <w:r>
        <w:t xml:space="preserve">6 Transition, Operation and Maintenance</w:t>
      </w:r>
    </w:p>
    <w:p>
      <w:pPr>
        <w:pStyle w:val="Heading2"/>
      </w:pPr>
      <w:r>
        <w:t xml:space="preserve">6.1 Release Process</w:t>
      </w:r>
    </w:p>
    <w:p>
      <w:pPr>
        <w:spacing w:after="120"/>
      </w:pPr>
      <w:r>
        <w:t xml:space="preserve">A release process is not defined in the baseline. The following steps restate the baseline's deployment practices; ordering, environments and approvers are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10</w:t>
      </w:r>
      <w:r>
        <w:fldChar w:fldCharType="end"/>
      </w:r>
      <w:r>
        <w:rPr>
          <w:b/>
          <w:bCs/>
        </w:rPr>
        <w:t xml:space="preserve"> — </w:t>
      </w:r>
      <w:r>
        <w:rPr>
          <w:i/>
          <w:iCs/>
        </w:rPr>
        <w:t xml:space="preserve">Release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5931"/>
        <w:gridCol w:w="2719"/>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Step</w:t>
            </w:r>
          </w:p>
        </w:tc>
        <w:tc>
          <w:tcPr>
            <w:tcW w:type="dxa" w:w="593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Activity</w:t>
            </w:r>
          </w:p>
        </w:tc>
        <w:tc>
          <w:tcPr>
            <w:tcW w:type="dxa" w:w="271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w:t>
            </w:r>
          </w:p>
        </w:tc>
        <w:tc>
          <w:tcPr>
            <w:tcW w:type="dxa" w:w="59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Apply environment-specific configuration</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OP-01</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w:t>
            </w:r>
          </w:p>
        </w:tc>
        <w:tc>
          <w:tcPr>
            <w:tcW w:type="dxa" w:w="59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Run automated migrations</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OP-02</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w:t>
            </w:r>
          </w:p>
        </w:tc>
        <w:tc>
          <w:tcPr>
            <w:tcW w:type="dxa" w:w="59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Verify health / readiness endpoints</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OP-03</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w:t>
            </w:r>
          </w:p>
        </w:tc>
        <w:tc>
          <w:tcPr>
            <w:tcW w:type="dxa" w:w="59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Confirm monitoring and structured logs</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OP-04, OP-05</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5</w:t>
            </w:r>
          </w:p>
        </w:tc>
        <w:tc>
          <w:tcPr>
            <w:tcW w:type="dxa" w:w="59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Confirm backup/restore test and documented rollback</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OP-06, OP-07</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6</w:t>
            </w:r>
          </w:p>
        </w:tc>
        <w:tc>
          <w:tcPr>
            <w:tcW w:type="dxa" w:w="59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Release approval</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Approvers </w:t>
            </w:r>
            <w:r>
              <w:rPr>
                <w:b/>
                <w:bCs/>
                <w:color w:val="B7791F"/>
                <w:sz w:val="18"/>
                <w:szCs w:val="18"/>
              </w:rPr>
              <w:t xml:space="preserve">TBD</w:t>
            </w:r>
          </w:p>
        </w:tc>
      </w:tr>
    </w:tbl>
    <w:p>
      <w:pPr>
        <w:spacing w:after="120"/>
      </w:pPr>
    </w:p>
    <w:p>
      <w:pPr>
        <w:pStyle w:val="Heading2"/>
      </w:pPr>
      <w:r>
        <w:t xml:space="preserve">6.2 Operations</w:t>
      </w:r>
    </w:p>
    <w:p>
      <w:pPr>
        <w:pStyle w:val="Caption"/>
        <w:keepNext/>
        <w:jc w:val="center"/>
      </w:pPr>
      <w:r>
        <w:rPr>
          <w:b/>
          <w:bCs/>
        </w:rPr>
        <w:t xml:space="preserve">Table </w:t>
      </w:r>
      <w:r>
        <w:fldChar w:fldCharType="begin"/>
      </w:r>
      <w:r>
        <w:instrText xml:space="preserve"> SEQ Table \* ARABIC </w:instrText>
      </w:r>
      <w:r>
        <w:fldChar w:fldCharType="separate"/>
      </w:r>
      <w:r>
        <w:rPr>
          <w:b/>
          <w:bCs/>
        </w:rPr>
        <w:t>11</w:t>
      </w:r>
      <w:r>
        <w:fldChar w:fldCharType="end"/>
      </w:r>
      <w:r>
        <w:rPr>
          <w:b/>
          <w:bCs/>
        </w:rPr>
        <w:t xml:space="preserve"> — </w:t>
      </w:r>
      <w:r>
        <w:rPr>
          <w:i/>
          <w:iCs/>
        </w:rPr>
        <w:t xml:space="preserve">Operational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4448"/>
        <w:gridCol w:w="2472"/>
      </w:tblGrid>
      <w:tr>
        <w:trPr>
          <w:cantSplit/>
          <w:tblHeader/>
        </w:trPr>
        <w:tc>
          <w:tcPr>
            <w:tcW w:type="dxa" w:w="271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Area</w:t>
            </w:r>
          </w:p>
        </w:tc>
        <w:tc>
          <w:tcPr>
            <w:tcW w:type="dxa" w:w="444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Practice</w:t>
            </w:r>
          </w:p>
        </w:tc>
        <w:tc>
          <w:tcPr>
            <w:tcW w:type="dxa" w:w="247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Monitoring and alerting</w:t>
            </w:r>
          </w:p>
        </w:tc>
        <w:tc>
          <w:tcPr>
            <w:tcW w:type="dxa" w:w="44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 monitoring, logging, alerting</w:t>
            </w:r>
          </w:p>
        </w:tc>
        <w:tc>
          <w:tcPr>
            <w:tcW w:type="dxa" w:w="24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tooling </w:t>
            </w:r>
            <w:r>
              <w:rPr>
                <w:b/>
                <w:bCs/>
                <w:color w:val="B7791F"/>
                <w:sz w:val="18"/>
                <w:szCs w:val="18"/>
              </w:rPr>
              <w:t xml:space="preserve">TBD</w:t>
            </w:r>
          </w:p>
        </w:tc>
      </w:tr>
      <w:tr>
        <w:trPr>
          <w:cantSplit/>
        </w:trPr>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Backup and recovery</w:t>
            </w:r>
          </w:p>
        </w:tc>
        <w:tc>
          <w:tcPr>
            <w:tcW w:type="dxa" w:w="44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Backup/restore tests; DR objectives</w:t>
            </w:r>
          </w:p>
        </w:tc>
        <w:tc>
          <w:tcPr>
            <w:tcW w:type="dxa" w:w="24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RPO/RTO </w:t>
            </w:r>
            <w:r>
              <w:rPr>
                <w:b/>
                <w:bCs/>
                <w:color w:val="B7791F"/>
                <w:sz w:val="18"/>
                <w:szCs w:val="18"/>
              </w:rPr>
              <w:t xml:space="preserve">TBD</w:t>
            </w:r>
            <w:r>
              <w:rPr>
                <w:b w:val="false"/>
                <w:bCs w:val="false"/>
                <w:color w:val="222222"/>
                <w:sz w:val="18"/>
                <w:szCs w:val="18"/>
              </w:rPr>
              <w:t xml:space="preserve"> (PD-07)</w:t>
            </w:r>
          </w:p>
        </w:tc>
      </w:tr>
      <w:tr>
        <w:trPr>
          <w:cantSplit/>
        </w:trPr>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Secrets</w:t>
            </w:r>
          </w:p>
        </w:tc>
        <w:tc>
          <w:tcPr>
            <w:tcW w:type="dxa" w:w="44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Outside source control; rotated via deployment controls</w:t>
            </w:r>
          </w:p>
        </w:tc>
        <w:tc>
          <w:tcPr>
            <w:tcW w:type="dxa" w:w="24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(SC-02)</w:t>
            </w:r>
          </w:p>
        </w:tc>
      </w:tr>
      <w:tr>
        <w:trPr>
          <w:cantSplit/>
        </w:trPr>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Retention</w:t>
            </w:r>
          </w:p>
        </w:tc>
        <w:tc>
          <w:tcPr>
            <w:tcW w:type="dxa" w:w="44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legal hold, deletion, backup policy</w:t>
            </w:r>
          </w:p>
        </w:tc>
        <w:tc>
          <w:tcPr>
            <w:tcW w:type="dxa" w:w="24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(SC-05)</w:t>
            </w:r>
          </w:p>
        </w:tc>
      </w:tr>
      <w:tr>
        <w:trPr>
          <w:cantSplit/>
        </w:trPr>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Service objectives</w:t>
            </w:r>
          </w:p>
        </w:tc>
        <w:tc>
          <w:tcPr>
            <w:tcW w:type="dxa" w:w="44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Defined after workload and hosting assumptions agreed</w:t>
            </w:r>
          </w:p>
        </w:tc>
        <w:tc>
          <w:tcPr>
            <w:tcW w:type="dxa" w:w="24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(NFR-02)</w:t>
            </w:r>
          </w:p>
        </w:tc>
      </w:tr>
      <w:tr>
        <w:trPr>
          <w:cantSplit/>
        </w:trPr>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Operational support ownership</w:t>
            </w:r>
          </w:p>
        </w:tc>
        <w:tc>
          <w:tcPr>
            <w:tcW w:type="dxa" w:w="44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resolution and support</w:t>
            </w:r>
          </w:p>
        </w:tc>
        <w:tc>
          <w:tcPr>
            <w:tcW w:type="dxa" w:w="24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(OQ-06)</w:t>
            </w:r>
          </w:p>
        </w:tc>
      </w:tr>
    </w:tbl>
    <w:p>
      <w:pPr>
        <w:spacing w:after="120"/>
      </w:pPr>
    </w:p>
    <w:p>
      <w:pPr>
        <w:pStyle w:val="Heading2"/>
      </w:pPr>
      <w:r>
        <w:t xml:space="preserve">6.3 Maintenance</w:t>
      </w:r>
    </w:p>
    <w:p>
      <w:pPr>
        <w:pStyle w:val="Caption"/>
        <w:keepNext/>
        <w:jc w:val="center"/>
      </w:pPr>
      <w:r>
        <w:rPr>
          <w:b/>
          <w:bCs/>
        </w:rPr>
        <w:t xml:space="preserve">Table </w:t>
      </w:r>
      <w:r>
        <w:fldChar w:fldCharType="begin"/>
      </w:r>
      <w:r>
        <w:instrText xml:space="preserve"> SEQ Table \* ARABIC </w:instrText>
      </w:r>
      <w:r>
        <w:fldChar w:fldCharType="separate"/>
      </w:r>
      <w:r>
        <w:rPr>
          <w:b/>
          <w:bCs/>
        </w:rPr>
        <w:t>12</w:t>
      </w:r>
      <w:r>
        <w:fldChar w:fldCharType="end"/>
      </w:r>
      <w:r>
        <w:rPr>
          <w:b/>
          <w:bCs/>
        </w:rPr>
        <w:t xml:space="preserve"> — </w:t>
      </w:r>
      <w:r>
        <w:rPr>
          <w:i/>
          <w:iCs/>
        </w:rPr>
        <w:t xml:space="preserve">Maintenance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3459"/>
        <w:gridCol w:w="4450"/>
      </w:tblGrid>
      <w:tr>
        <w:trPr>
          <w:cantSplit/>
          <w:tblHeader/>
        </w:trPr>
        <w:tc>
          <w:tcPr>
            <w:tcW w:type="dxa" w:w="17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Type</w:t>
            </w:r>
          </w:p>
        </w:tc>
        <w:tc>
          <w:tcPr>
            <w:tcW w:type="dxa" w:w="34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Trigger</w:t>
            </w:r>
          </w:p>
        </w:tc>
        <w:tc>
          <w:tcPr>
            <w:tcW w:type="dxa" w:w="445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Path</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Corrective</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Defect</w:t>
            </w:r>
          </w:p>
        </w:tc>
        <w:tc>
          <w:tcPr>
            <w:tcW w:type="dxa" w:w="44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Change control (§7.1); regression on critical paths (NFR-06)</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Adaptive</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New evidence type, policy rule or integration</w:t>
            </w:r>
          </w:p>
        </w:tc>
        <w:tc>
          <w:tcPr>
            <w:tcW w:type="dxa" w:w="44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set versioning (AP-04); new adapter (AD-01)</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Perfective</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Usability or performance</w:t>
            </w:r>
          </w:p>
        </w:tc>
        <w:tc>
          <w:tcPr>
            <w:tcW w:type="dxa" w:w="445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Change request → baseline update</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Preventive</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Dependency or security updates</w:t>
            </w:r>
          </w:p>
        </w:tc>
        <w:tc>
          <w:tcPr>
            <w:tcW w:type="dxa" w:w="445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1"/>
      </w:pPr>
      <w:r>
        <w:t xml:space="preserve">7 Project Management</w:t>
      </w:r>
    </w:p>
    <w:p>
      <w:pPr>
        <w:pStyle w:val="Heading2"/>
      </w:pPr>
      <w:r>
        <w:t xml:space="preserve">7.1 Configuration Management (IEEE 828)</w:t>
      </w:r>
    </w:p>
    <w:p>
      <w:pPr>
        <w:pStyle w:val="Caption"/>
        <w:keepNext/>
        <w:jc w:val="center"/>
      </w:pPr>
      <w:r>
        <w:rPr>
          <w:b/>
          <w:bCs/>
        </w:rPr>
        <w:t xml:space="preserve">Table </w:t>
      </w:r>
      <w:r>
        <w:fldChar w:fldCharType="begin"/>
      </w:r>
      <w:r>
        <w:instrText xml:space="preserve"> SEQ Table \* ARABIC </w:instrText>
      </w:r>
      <w:r>
        <w:fldChar w:fldCharType="separate"/>
      </w:r>
      <w:r>
        <w:rPr>
          <w:b/>
          <w:bCs/>
        </w:rPr>
        <w:t>13</w:t>
      </w:r>
      <w:r>
        <w:fldChar w:fldCharType="end"/>
      </w:r>
      <w:r>
        <w:rPr>
          <w:b/>
          <w:bCs/>
        </w:rPr>
        <w:t xml:space="preserve"> — </w:t>
      </w:r>
      <w:r>
        <w:rPr>
          <w:i/>
          <w:iCs/>
        </w:rPr>
        <w:t xml:space="preserve">Baselines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5436"/>
        <w:gridCol w:w="2225"/>
      </w:tblGrid>
      <w:tr>
        <w:trPr>
          <w:cantSplit/>
          <w:tblHeader/>
        </w:trPr>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Baseline</w:t>
            </w:r>
          </w:p>
        </w:tc>
        <w:tc>
          <w:tcPr>
            <w:tcW w:type="dxa" w:w="543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Contents</w:t>
            </w:r>
          </w:p>
        </w:tc>
        <w:tc>
          <w:tcPr>
            <w:tcW w:type="dxa" w:w="222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Established</w:t>
            </w:r>
          </w:p>
        </w:tc>
      </w:tr>
      <w:tr>
        <w:trPr>
          <w:cantSplit/>
        </w:trPr>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Functional</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PRS, SyRS</w:t>
            </w:r>
          </w:p>
        </w:tc>
        <w:tc>
          <w:tcPr>
            <w:tcW w:type="dxa" w:w="22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Gate G2</w:t>
            </w:r>
          </w:p>
        </w:tc>
      </w:tr>
      <w:tr>
        <w:trPr>
          <w:cantSplit/>
        </w:trPr>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Architecture</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LLD</w:t>
            </w:r>
          </w:p>
        </w:tc>
        <w:tc>
          <w:tcPr>
            <w:tcW w:type="dxa" w:w="22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Gate G3</w:t>
            </w:r>
          </w:p>
        </w:tc>
      </w:tr>
      <w:tr>
        <w:trPr>
          <w:cantSplit/>
        </w:trPr>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Product</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Code, versioned schema migrations, versioned APIs and rules (NFR-06)</w:t>
            </w:r>
          </w:p>
        </w:tc>
        <w:tc>
          <w:tcPr>
            <w:tcW w:type="dxa" w:w="22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Each increment exit (G4)</w:t>
            </w:r>
          </w:p>
        </w:tc>
      </w:tr>
      <w:tr>
        <w:trPr>
          <w:cantSplit/>
        </w:trPr>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Release</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Release package (contents </w:t>
            </w:r>
            <w:r>
              <w:rPr>
                <w:b/>
                <w:bCs/>
                <w:color w:val="B7791F"/>
                <w:sz w:val="18"/>
                <w:szCs w:val="18"/>
              </w:rPr>
              <w:t xml:space="preserve">TBD</w:t>
            </w:r>
            <w:r>
              <w:rPr>
                <w:b w:val="false"/>
                <w:bCs w:val="false"/>
                <w:color w:val="222222"/>
                <w:sz w:val="18"/>
                <w:szCs w:val="18"/>
              </w:rPr>
              <w:t xml:space="preserve">)</w:t>
            </w:r>
          </w:p>
        </w:tc>
        <w:tc>
          <w:tcPr>
            <w:tcW w:type="dxa" w:w="22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Gate G6</w:t>
            </w:r>
          </w:p>
        </w:tc>
      </w:tr>
    </w:tbl>
    <w:p>
      <w:pPr>
        <w:spacing w:after="120"/>
      </w:pPr>
    </w:p>
    <w:p>
      <w:pPr>
        <w:spacing w:after="120"/>
      </w:pPr>
      <w:r>
        <w:t xml:space="preserve">Changes to baselined items require a change request. The change authority, review board composition and approval thresholds are </w:t>
      </w:r>
      <w:r>
        <w:rPr>
          <w:b/>
          <w:bCs/>
          <w:color w:val="B7791F"/>
        </w:rPr>
        <w:t xml:space="preserve">TBD</w:t>
      </w:r>
      <w:r>
        <w:t xml:space="preserve">.</w:t>
      </w:r>
    </w:p>
    <w:p>
      <w:pPr>
        <w:pStyle w:val="Heading2"/>
      </w:pPr>
      <w:r>
        <w:t xml:space="preserve">7.2 Roles</w:t>
      </w:r>
    </w:p>
    <w:p>
      <w:pPr>
        <w:spacing w:after="120"/>
      </w:pPr>
      <w:r>
        <w:t xml:space="preserve">Named project roles and owners are not defined in the baseline. The responsibilities below are those the baseline requires to be owned; the role holder is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14</w:t>
      </w:r>
      <w:r>
        <w:fldChar w:fldCharType="end"/>
      </w:r>
      <w:r>
        <w:rPr>
          <w:b/>
          <w:bCs/>
        </w:rPr>
        <w:t xml:space="preserve"> — </w:t>
      </w:r>
      <w:r>
        <w:rPr>
          <w:i/>
          <w:iCs/>
        </w:rPr>
        <w:t xml:space="preserve">Responsibilities requiring an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5"/>
        <w:gridCol w:w="2965"/>
        <w:gridCol w:w="1978"/>
      </w:tblGrid>
      <w:tr>
        <w:trPr>
          <w:cantSplit/>
          <w:tblHeader/>
        </w:trPr>
        <w:tc>
          <w:tcPr>
            <w:tcW w:type="dxa" w:w="469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Responsibility</w:t>
            </w:r>
          </w:p>
        </w:tc>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197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Owner</w:t>
            </w:r>
          </w:p>
        </w:tc>
      </w:tr>
      <w:tr>
        <w:trPr>
          <w:cantSplit/>
        </w:trPr>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Discovery gate decision and scope freeze</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Resolution of open questions OQ-01 – OQ-06</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§8.2</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Resolution of open decisions OD-01 – OD-07</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§7</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Architecture decisions PD-01 – PD-07</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§10.2</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Rule set ownership</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RuleSetVersion.owner (HLD §5.2)</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Retention / legal hold / deletion policy</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SC-05</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Operational support and exception resolution</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OQ-06</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Document approvals (all six documents)</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control</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7.3 Risk Register (ISO/IEC/IEEE 16085)</w:t>
      </w:r>
    </w:p>
    <w:p>
      <w:pPr>
        <w:spacing w:after="120"/>
      </w:pPr>
      <w:r>
        <w:t xml:space="preserve">Risks are consolidated from MRS §9 and HLD §11. Likelihood, impact and owner are not rated in the baseline and are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15</w:t>
      </w:r>
      <w:r>
        <w:fldChar w:fldCharType="end"/>
      </w:r>
      <w:r>
        <w:rPr>
          <w:b/>
          <w:bCs/>
        </w:rPr>
        <w:t xml:space="preserve"> — </w:t>
      </w:r>
      <w:r>
        <w:rPr>
          <w:i/>
          <w:iCs/>
        </w:rPr>
        <w:t xml:space="preserve">Consolidated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4"/>
        <w:gridCol w:w="2718"/>
        <w:gridCol w:w="864"/>
        <w:gridCol w:w="617"/>
        <w:gridCol w:w="617"/>
        <w:gridCol w:w="2965"/>
        <w:gridCol w:w="993"/>
      </w:tblGrid>
      <w:tr>
        <w:trPr>
          <w:cantSplit/>
          <w:tblHeader/>
        </w:trPr>
        <w:tc>
          <w:tcPr>
            <w:tcW w:type="dxa" w:w="86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71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Risk</w:t>
            </w:r>
          </w:p>
        </w:tc>
        <w:tc>
          <w:tcPr>
            <w:tcW w:type="dxa" w:w="86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61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w:t>
            </w:r>
          </w:p>
        </w:tc>
        <w:tc>
          <w:tcPr>
            <w:tcW w:type="dxa" w:w="61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w:t>
            </w:r>
          </w:p>
        </w:tc>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Treatment (from baseline)</w:t>
            </w:r>
          </w:p>
        </w:tc>
        <w:tc>
          <w:tcPr>
            <w:tcW w:type="dxa" w:w="99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Owner</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RK-01</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Problem hypotheses not confirmed</w:t>
            </w:r>
          </w:p>
        </w:tc>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(G1)</w:t>
            </w:r>
          </w:p>
        </w:tc>
        <w:tc>
          <w:tcPr>
            <w:tcW w:type="dxa" w:w="9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RK-02</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Differentiation not a proven moat</w:t>
            </w:r>
          </w:p>
        </w:tc>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Interviews, workflow trials, partner feedback</w:t>
            </w:r>
          </w:p>
        </w:tc>
        <w:tc>
          <w:tcPr>
            <w:tcW w:type="dxa" w:w="9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RK-03</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Competitive claims unvalidated</w:t>
            </w:r>
          </w:p>
        </w:tc>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Source-backed competitor review</w:t>
            </w:r>
          </w:p>
        </w:tc>
        <w:tc>
          <w:tcPr>
            <w:tcW w:type="dxa" w:w="9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AR-01</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Unconfirmed bank policies</w:t>
            </w:r>
          </w:p>
        </w:tc>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Configurable, versioned rules</w:t>
            </w:r>
          </w:p>
        </w:tc>
        <w:tc>
          <w:tcPr>
            <w:tcW w:type="dxa" w:w="9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AR-02</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Unknown evidence formats</w:t>
            </w:r>
          </w:p>
        </w:tc>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Resolve OD-01</w:t>
            </w:r>
          </w:p>
        </w:tc>
        <w:tc>
          <w:tcPr>
            <w:tcW w:type="dxa" w:w="9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AR-03</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Unclear data residency</w:t>
            </w:r>
          </w:p>
        </w:tc>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Jurisdictional review</w:t>
            </w:r>
          </w:p>
        </w:tc>
        <w:tc>
          <w:tcPr>
            <w:tcW w:type="dxa" w:w="9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AR-04</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variability</w:t>
            </w:r>
          </w:p>
        </w:tc>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per system; contracts first</w:t>
            </w:r>
          </w:p>
        </w:tc>
        <w:tc>
          <w:tcPr>
            <w:tcW w:type="dxa" w:w="9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AR-05</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Unvalidated decision rules</w:t>
            </w:r>
          </w:p>
        </w:tc>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61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versions recorded on decisions</w:t>
            </w:r>
          </w:p>
        </w:tc>
        <w:tc>
          <w:tcPr>
            <w:tcW w:type="dxa" w:w="9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Bdr>
          <w:left w:val="single" w:color="B7791F" w:sz="18" w:space="8"/>
        </w:pBdr>
        <w:shd w:fill="FFF8EC" w:color="auto" w:val="clear"/>
        <w:spacing w:after="160" w:before="60"/>
        <w:ind w:left="200"/>
      </w:pPr>
      <w:r>
        <w:rPr>
          <w:i/>
          <w:iCs/>
          <w:color w:val="5B6B7C"/>
          <w:sz w:val="19"/>
          <w:szCs w:val="19"/>
        </w:rPr>
        <w:t xml:space="preserve">MRS risks RK-04 – RK-07 restate HLD risks AR-01 – AR-05 and are covered by those entries.</w:t>
      </w:r>
    </w:p>
    <w:p>
      <w:pPr>
        <w:pStyle w:val="Heading2"/>
      </w:pPr>
      <w:r>
        <w:t xml:space="preserve">7.4 Traceability</w:t>
      </w:r>
    </w:p>
    <w:p>
      <w:pPr>
        <w:keepNext/>
        <w:spacing w:after="60" w:before="120" w:line="240" w:lineRule="auto"/>
        <w:jc w:val="center"/>
      </w:pPr>
      <w:r>
        <w:drawing>
          <wp:inline distT="0" distB="0" distL="0" distR="0">
            <wp:extent cx="6076950" cy="1990725"/>
            <wp:effectExtent t="0" r="0" b="0" l="0"/>
            <wp:docPr id="1" name="Traceability chain across the specification set" descr="Traceability chain across the specification set" title="Traceability chain across the specific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199072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4</w:t>
      </w:r>
      <w:r>
        <w:fldChar w:fldCharType="end"/>
      </w:r>
      <w:r>
        <w:rPr>
          <w:b/>
          <w:bCs/>
        </w:rPr>
        <w:t xml:space="preserve"> — </w:t>
      </w:r>
      <w:r>
        <w:rPr>
          <w:i/>
          <w:iCs/>
        </w:rPr>
        <w:t xml:space="preserve">Traceability chain across the specification set</w:t>
      </w:r>
    </w:p>
    <w:p>
      <w:pPr>
        <w:pStyle w:val="Caption"/>
        <w:keepNext/>
        <w:jc w:val="center"/>
      </w:pPr>
      <w:r>
        <w:rPr>
          <w:b/>
          <w:bCs/>
        </w:rPr>
        <w:t xml:space="preserve">Table </w:t>
      </w:r>
      <w:r>
        <w:fldChar w:fldCharType="begin"/>
      </w:r>
      <w:r>
        <w:instrText xml:space="preserve"> SEQ Table \* ARABIC </w:instrText>
      </w:r>
      <w:r>
        <w:fldChar w:fldCharType="separate"/>
      </w:r>
      <w:r>
        <w:rPr>
          <w:b/>
          <w:bCs/>
        </w:rPr>
        <w:t>16</w:t>
      </w:r>
      <w:r>
        <w:fldChar w:fldCharType="end"/>
      </w:r>
      <w:r>
        <w:rPr>
          <w:b/>
          <w:bCs/>
        </w:rPr>
        <w:t xml:space="preserve"> — </w:t>
      </w:r>
      <w:r>
        <w:rPr>
          <w:i/>
          <w:iCs/>
        </w:rPr>
        <w:t xml:space="preserve">Objective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2196"/>
        <w:gridCol w:w="2318"/>
        <w:gridCol w:w="2440"/>
        <w:gridCol w:w="1464"/>
      </w:tblGrid>
      <w:tr>
        <w:trPr>
          <w:cantSplit/>
          <w:tblHeader/>
        </w:trPr>
        <w:tc>
          <w:tcPr>
            <w:tcW w:type="dxa" w:w="122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Objective</w:t>
            </w:r>
          </w:p>
        </w:tc>
        <w:tc>
          <w:tcPr>
            <w:tcW w:type="dxa" w:w="219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MR</w:t>
            </w:r>
          </w:p>
        </w:tc>
        <w:tc>
          <w:tcPr>
            <w:tcW w:type="dxa" w:w="231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w:t>
            </w:r>
          </w:p>
        </w:tc>
        <w:tc>
          <w:tcPr>
            <w:tcW w:type="dxa" w:w="244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SYS</w:t>
            </w:r>
          </w:p>
        </w:tc>
        <w:tc>
          <w:tcPr>
            <w:tcW w:type="dxa" w:w="146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Increment</w:t>
            </w:r>
          </w:p>
        </w:tc>
      </w:tr>
      <w:tr>
        <w:trPr>
          <w:cantSplit/>
        </w:trPr>
        <w:tc>
          <w:tcPr>
            <w:tcW w:type="dxa" w:w="12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BO-01</w:t>
            </w:r>
          </w:p>
        </w:tc>
        <w:tc>
          <w:tcPr>
            <w:tcW w:type="dxa" w:w="21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MR-02, MR-05</w:t>
            </w:r>
          </w:p>
        </w:tc>
        <w:tc>
          <w:tcPr>
            <w:tcW w:type="dxa" w:w="23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 PR-04, PR-08</w:t>
            </w:r>
          </w:p>
        </w:tc>
        <w:tc>
          <w:tcPr>
            <w:tcW w:type="dxa" w:w="24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SYS-IN, SYS-VA, SYS-EX</w:t>
            </w:r>
          </w:p>
        </w:tc>
        <w:tc>
          <w:tcPr>
            <w:tcW w:type="dxa" w:w="14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I-1, I-2, I-4</w:t>
            </w:r>
          </w:p>
        </w:tc>
      </w:tr>
      <w:tr>
        <w:trPr>
          <w:cantSplit/>
        </w:trPr>
        <w:tc>
          <w:tcPr>
            <w:tcW w:type="dxa" w:w="12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BO-02</w:t>
            </w:r>
          </w:p>
        </w:tc>
        <w:tc>
          <w:tcPr>
            <w:tcW w:type="dxa" w:w="21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MR-03</w:t>
            </w:r>
          </w:p>
        </w:tc>
        <w:tc>
          <w:tcPr>
            <w:tcW w:type="dxa" w:w="23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24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SYS-DE</w:t>
            </w:r>
          </w:p>
        </w:tc>
        <w:tc>
          <w:tcPr>
            <w:tcW w:type="dxa" w:w="14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I-3</w:t>
            </w:r>
          </w:p>
        </w:tc>
      </w:tr>
      <w:tr>
        <w:trPr>
          <w:cantSplit/>
        </w:trPr>
        <w:tc>
          <w:tcPr>
            <w:tcW w:type="dxa" w:w="12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BO-03</w:t>
            </w:r>
          </w:p>
        </w:tc>
        <w:tc>
          <w:tcPr>
            <w:tcW w:type="dxa" w:w="21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23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PR-09, PR-10</w:t>
            </w:r>
          </w:p>
        </w:tc>
        <w:tc>
          <w:tcPr>
            <w:tcW w:type="dxa" w:w="24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SYS-AU, SYS-SR</w:t>
            </w:r>
          </w:p>
        </w:tc>
        <w:tc>
          <w:tcPr>
            <w:tcW w:type="dxa" w:w="14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I-3, I-4</w:t>
            </w:r>
          </w:p>
        </w:tc>
      </w:tr>
      <w:tr>
        <w:trPr>
          <w:cantSplit/>
        </w:trPr>
        <w:tc>
          <w:tcPr>
            <w:tcW w:type="dxa" w:w="12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BO-04</w:t>
            </w:r>
          </w:p>
        </w:tc>
        <w:tc>
          <w:tcPr>
            <w:tcW w:type="dxa" w:w="21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 MR-05</w:t>
            </w:r>
          </w:p>
        </w:tc>
        <w:tc>
          <w:tcPr>
            <w:tcW w:type="dxa" w:w="23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c>
          <w:tcPr>
            <w:tcW w:type="dxa" w:w="24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SYS-US</w:t>
            </w:r>
          </w:p>
        </w:tc>
        <w:tc>
          <w:tcPr>
            <w:tcW w:type="dxa" w:w="14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w:t>
            </w:r>
          </w:p>
        </w:tc>
      </w:tr>
    </w:tbl>
    <w:p>
      <w:pPr>
        <w:spacing w:after="120"/>
      </w:pPr>
    </w:p>
    <w:p>
      <w:pPr>
        <w:pStyle w:val="Heading1"/>
      </w:pPr>
      <w:r>
        <w:t xml:space="preserve">8 Assumptions, Conflicts and Open Issues</w:t>
      </w:r>
    </w:p>
    <w:p>
      <w:pPr>
        <w:pStyle w:val="Heading2"/>
      </w:pPr>
      <w:r>
        <w:t xml:space="preserve">8.1 Assumptions</w:t>
      </w:r>
    </w:p>
    <w:p>
      <w:pPr>
        <w:pStyle w:val="ListParagraph"/>
        <w:numPr>
          <w:ilvl w:val="0"/>
          <w:numId w:val="2"/>
        </w:numPr>
        <w:spacing w:after="60"/>
      </w:pPr>
      <w:r>
        <w:t xml:space="preserve">The finalized MRS, PRS and HLD are the authoritative source for all product content in this series.</w:t>
      </w:r>
    </w:p>
    <w:p>
      <w:pPr>
        <w:pStyle w:val="ListParagraph"/>
        <w:numPr>
          <w:ilvl w:val="0"/>
          <w:numId w:val="2"/>
        </w:numPr>
        <w:spacing w:after="60"/>
      </w:pPr>
      <w:r>
        <w:t xml:space="preserve">The stage-gate structure in §3 is a tailoring of ISO/IEC/IEEE 12207 and is subject to confirmation.</w:t>
      </w:r>
    </w:p>
    <w:p>
      <w:pPr>
        <w:pStyle w:val="ListParagraph"/>
        <w:numPr>
          <w:ilvl w:val="0"/>
          <w:numId w:val="2"/>
        </w:numPr>
        <w:spacing w:after="60"/>
      </w:pPr>
      <w:r>
        <w:t xml:space="preserve">The SyRS was produced after the HLD in this baseline; it refines PRS content and HLD allocations without changing them.</w:t>
      </w:r>
    </w:p>
    <w:p>
      <w:pPr>
        <w:pStyle w:val="Heading2"/>
      </w:pPr>
      <w:r>
        <w:t xml:space="preserve">8.2 Consistency Findings</w:t>
      </w:r>
    </w:p>
    <w:p>
      <w:pPr>
        <w:pStyle w:val="Caption"/>
        <w:keepNext/>
        <w:jc w:val="center"/>
      </w:pPr>
      <w:r>
        <w:rPr>
          <w:b/>
          <w:bCs/>
        </w:rPr>
        <w:t xml:space="preserve">Table </w:t>
      </w:r>
      <w:r>
        <w:fldChar w:fldCharType="begin"/>
      </w:r>
      <w:r>
        <w:instrText xml:space="preserve"> SEQ Table \* ARABIC </w:instrText>
      </w:r>
      <w:r>
        <w:fldChar w:fldCharType="separate"/>
      </w:r>
      <w:r>
        <w:rPr>
          <w:b/>
          <w:bCs/>
        </w:rPr>
        <w:t>17</w:t>
      </w:r>
      <w:r>
        <w:fldChar w:fldCharType="end"/>
      </w:r>
      <w:r>
        <w:rPr>
          <w:b/>
          <w:bCs/>
        </w:rPr>
        <w:t xml:space="preserve"> — </w:t>
      </w:r>
      <w:r>
        <w:rPr>
          <w:i/>
          <w:iCs/>
        </w:rPr>
        <w:t xml:space="preserve">Consistency findings across the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4695"/>
        <w:gridCol w:w="1977"/>
        <w:gridCol w:w="1978"/>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69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Finding</w:t>
            </w:r>
          </w:p>
        </w:tc>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Documents</w:t>
            </w:r>
          </w:p>
        </w:tc>
        <w:tc>
          <w:tcPr>
            <w:tcW w:type="dxa" w:w="197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To resolve</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CF-01</w:t>
            </w:r>
          </w:p>
        </w:tc>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fields (submitter, evidence references, comments/escalation) absent from HLD entities</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§4, HLD §5.3</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DG-01 – DG-07</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CF-02</w:t>
            </w:r>
          </w:p>
        </w:tc>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Owning service for exception handling, search and export not assigned</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§4.2</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Gate G3</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CF-03</w:t>
            </w:r>
          </w:p>
        </w:tc>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 and PR-12 have no MRS user need (trace to OQ-05, OQ-06)</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§11.2</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Gate G1/G2</w:t>
            </w:r>
          </w:p>
        </w:tc>
      </w:tr>
    </w:tbl>
    <w:p>
      <w:pPr>
        <w:spacing w:after="120"/>
      </w:pPr>
    </w:p>
    <w:p>
      <w:pPr>
        <w:pStyle w:val="Heading2"/>
      </w:pPr>
      <w:r>
        <w:t xml:space="preserve">8.3 Missing Information</w:t>
      </w:r>
    </w:p>
    <w:p>
      <w:pPr>
        <w:pStyle w:val="ListParagraph"/>
        <w:numPr>
          <w:ilvl w:val="0"/>
          <w:numId w:val="2"/>
        </w:numPr>
        <w:spacing w:after="60"/>
      </w:pPr>
      <w:r>
        <w:t xml:space="preserve">Named owners, approvers and project roles.</w:t>
      </w:r>
    </w:p>
    <w:p>
      <w:pPr>
        <w:pStyle w:val="ListParagraph"/>
        <w:numPr>
          <w:ilvl w:val="0"/>
          <w:numId w:val="2"/>
        </w:numPr>
        <w:spacing w:after="60"/>
      </w:pPr>
      <w:r>
        <w:t xml:space="preserve">Schedule: start date, increment durations, release date; budget and team size.</w:t>
      </w:r>
    </w:p>
    <w:p>
      <w:pPr>
        <w:pStyle w:val="ListParagraph"/>
        <w:numPr>
          <w:ilvl w:val="0"/>
          <w:numId w:val="2"/>
        </w:numPr>
        <w:spacing w:after="60"/>
      </w:pPr>
      <w:r>
        <w:t xml:space="preserve">Life cycle model confirmation and tailoring approval.</w:t>
      </w:r>
    </w:p>
    <w:p>
      <w:pPr>
        <w:pStyle w:val="ListParagraph"/>
        <w:numPr>
          <w:ilvl w:val="0"/>
          <w:numId w:val="2"/>
        </w:numPr>
        <w:spacing w:after="60"/>
      </w:pPr>
      <w:r>
        <w:t xml:space="preserve">Hosting, environments and technology stack (PD-01 – PD-07).</w:t>
      </w:r>
    </w:p>
    <w:p>
      <w:pPr>
        <w:pStyle w:val="ListParagraph"/>
        <w:numPr>
          <w:ilvl w:val="0"/>
          <w:numId w:val="2"/>
        </w:numPr>
        <w:spacing w:after="60"/>
      </w:pPr>
      <w:r>
        <w:t xml:space="preserve">Integrity levels, test tooling and test frequencies.</w:t>
      </w:r>
    </w:p>
    <w:p>
      <w:pPr>
        <w:pStyle w:val="ListParagraph"/>
        <w:numPr>
          <w:ilvl w:val="0"/>
          <w:numId w:val="2"/>
        </w:numPr>
        <w:spacing w:after="60"/>
      </w:pPr>
      <w:r>
        <w:t xml:space="preserve">Acceptance thresholds and performance, reliability and DR targets (OD-07, NFR-02, NFR-03).</w:t>
      </w:r>
    </w:p>
    <w:p>
      <w:pPr>
        <w:pStyle w:val="ListParagraph"/>
        <w:numPr>
          <w:ilvl w:val="0"/>
          <w:numId w:val="2"/>
        </w:numPr>
        <w:spacing w:after="60"/>
      </w:pPr>
      <w:r>
        <w:t xml:space="preserve">Release package contents and change-control authority.</w:t>
      </w: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3A5A" w:sz="6" w:space="4"/>
      </w:pBdr>
      <w:tabs>
        <w:tab w:val="right" w:pos="9638"/>
      </w:tabs>
    </w:pPr>
    <w:r>
      <w:rPr>
        <w:color w:val="5B6B7C"/>
        <w:sz w:val="16"/>
        <w:szCs w:val="16"/>
      </w:rPr>
      <w:t xml:space="preserve">AURA-PDLC-1.0  |  ISO/IEC/IEEE 12207:2017 (tailored)</w:t>
    </w:r>
    <w:r>
      <w:rPr>
        <w:color w:val="5B6B7C"/>
        <w:sz w:val="16"/>
        <w:szCs w:val="16"/>
      </w:rPr>
      <w:t xml:space="preserve">	Page </w:t>
    </w:r>
    <w:r>
      <w:rPr>
        <w:b/>
        <w:bCs/>
        <w:color w:val="163A5A"/>
        <w:sz w:val="16"/>
        <w:szCs w:val="16"/>
      </w:rPr>
      <w:fldChar w:fldCharType="begin"/>
      <w:instrText xml:space="preserve">PAGE</w:instrText>
      <w:fldChar w:fldCharType="separate"/>
      <w:fldChar w:fldCharType="end"/>
    </w:r>
    <w:r>
      <w:rPr>
        <w:color w:val="5B6B7C"/>
        <w:sz w:val="16"/>
        <w:szCs w:val="16"/>
      </w:rPr>
      <w:t xml:space="preserve"> of </w:t>
    </w:r>
    <w:r>
      <w:rPr>
        <w:b/>
        <w:bCs/>
        <w:color w:val="163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3A5A" w:sz="6" w:space="4"/>
      </w:pBdr>
    </w:pPr>
    <w:r>
      <w:rPr>
        <w:color w:val="5B6B7C"/>
        <w:sz w:val="16"/>
        <w:szCs w:val="16"/>
      </w:rPr>
      <w:t xml:space="preserve">Aura  |  </w:t>
    </w:r>
    <w:r>
      <w:rPr>
        <w:b/>
        <w:bCs/>
        <w:color w:val="163A5A"/>
        <w:sz w:val="16"/>
        <w:szCs w:val="16"/>
      </w:rPr>
      <w:t xml:space="preserve">PRODUCT DEVELOPMENT LIFE CYCLE</w:t>
    </w:r>
    <w:r>
      <w:rPr>
        <w:color w:val="5B6B7C"/>
        <w:sz w:val="16"/>
        <w:szCs w:val="16"/>
      </w:rPr>
      <w:t xml:space="preserve">  |  AURA-PDLC-1.0  |  Classification: TBD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A7F7A" w:sz="12" w:space="4"/>
      </w:pBdr>
      <w:spacing w:after="200" w:before="120"/>
      <w:outlineLvl w:val="0"/>
    </w:pPr>
    <w:rPr>
      <w:rFonts w:ascii="Cambria" w:cs="Cambria" w:eastAsia="Cambria" w:hAnsi="Cambria"/>
      <w:b/>
      <w:bCs/>
      <w:color w:val="163A5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4E79"/>
      <w:sz w:val="26"/>
      <w:szCs w:val="26"/>
    </w:rPr>
  </w:style>
  <w:style w:type="paragraph" w:styleId="Heading3">
    <w:name w:val="Heading 3"/>
    <w:basedOn w:val="Normal"/>
    <w:next w:val="Normal"/>
    <w:qFormat/>
    <w:pPr>
      <w:keepNext/>
      <w:spacing w:after="100" w:before="200"/>
      <w:outlineLvl w:val="2"/>
    </w:pPr>
    <w:rPr>
      <w:rFonts w:ascii="Cambria" w:cs="Cambria" w:eastAsia="Cambria" w:hAnsi="Cambria"/>
      <w:b/>
      <w:bCs/>
      <w:color w:val="1A7F7A"/>
      <w:sz w:val="22"/>
      <w:szCs w:val="22"/>
    </w:rPr>
  </w:style>
  <w:style w:type="paragraph" w:styleId="TOC1">
    <w:name w:val="toc 1"/>
    <w:basedOn w:val="Normal"/>
    <w:next w:val="Normal"/>
    <w:pPr>
      <w:tabs>
        <w:tab w:val="right" w:pos="9638" w:leader="dot"/>
      </w:tabs>
      <w:spacing w:after="40" w:before="120"/>
    </w:pPr>
    <w:rPr>
      <w:b/>
      <w:bCs/>
      <w:color w:val="163A5A"/>
      <w:sz w:val="21"/>
      <w:szCs w:val="21"/>
    </w:rPr>
  </w:style>
  <w:style w:type="paragraph" w:styleId="TOC2">
    <w:name w:val="toc 2"/>
    <w:basedOn w:val="Normal"/>
    <w:next w:val="Normal"/>
    <w:pPr>
      <w:tabs>
        <w:tab w:val="right" w:pos="9638" w:leader="dot"/>
      </w:tabs>
      <w:spacing w:after="30"/>
      <w:ind w:left="360"/>
    </w:pPr>
    <w:rPr>
      <w:sz w:val="20"/>
      <w:szCs w:val="20"/>
    </w:rPr>
  </w:style>
  <w:style w:type="paragraph" w:styleId="TOC3">
    <w:name w:val="toc 3"/>
    <w:basedOn w:val="Normal"/>
    <w:next w:val="Normal"/>
    <w:pPr>
      <w:tabs>
        <w:tab w:val="right" w:pos="9638" w:leader="dot"/>
      </w:tabs>
      <w:spacing w:after="20"/>
      <w:ind w:left="720"/>
    </w:pPr>
    <w:rPr>
      <w:color w:val="5B6B7C"/>
      <w:sz w:val="19"/>
      <w:szCs w:val="19"/>
    </w:rPr>
  </w:style>
  <w:style w:type="paragraph" w:styleId="TableofFigures">
    <w:name w:val="table of figures"/>
    <w:basedOn w:val="Normal"/>
    <w:next w:val="Normal"/>
    <w:pPr>
      <w:tabs>
        <w:tab w:val="right" w:pos="9638" w:leader="dot"/>
      </w:tabs>
      <w:spacing w:after="30"/>
    </w:pPr>
    <w:rPr>
      <w:sz w:val="20"/>
      <w:szCs w:val="20"/>
    </w:rPr>
  </w:style>
  <w:style w:type="paragraph" w:styleId="Caption">
    <w:name w:val="Caption"/>
    <w:basedOn w:val="Normal"/>
    <w:next w:val="Normal"/>
    <w:qFormat/>
    <w:pPr>
      <w:spacing w:after="120" w:before="60"/>
    </w:pPr>
    <w:rPr>
      <w:color w:val="163A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efc5cbdfb9731b101cb688e3d3cca22ff526128.png"/><Relationship Id="rId12" Type="http://schemas.openxmlformats.org/officeDocument/2006/relationships/image" Target="media/4e1034aed32e6c0ee310248f6f033f001e2f684a.png"/><Relationship Id="rId13" Type="http://schemas.openxmlformats.org/officeDocument/2006/relationships/image" Target="media/cd66f4380bfc83abddb322907a5bceab6f541bc0.png"/><Relationship Id="rId14" Type="http://schemas.openxmlformats.org/officeDocument/2006/relationships/image" Target="media/94b9414ad8cb949f4630ea21116a8759359b87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Development Life Cycle — Aura</dc:title>
  <dc:creator>Senior Software Architect</dc:creator>
  <dc:description>Life Cycle Model, Stages, Gates, V&amp;V, Release and Governance — Initial Baseline</dc:description>
  <cp:lastModifiedBy>Un-named</cp:lastModifiedBy>
  <cp:revision>1</cp:revision>
  <dcterms:created xsi:type="dcterms:W3CDTF">2026-10-13T09:02:14.580Z</dcterms:created>
  <dcterms:modified xsi:type="dcterms:W3CDTF">2026-10-13T09:02:14.580Z</dcterms:modified>
</cp:coreProperties>
</file>

<file path=docProps/custom.xml><?xml version="1.0" encoding="utf-8"?>
<Properties xmlns="http://schemas.openxmlformats.org/officeDocument/2006/custom-properties" xmlns:vt="http://schemas.openxmlformats.org/officeDocument/2006/docPropsVTypes"/>
</file>