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ambria" w:cs="Cambria" w:eastAsia="Cambria" w:hAnsi="Cambria"/>
          <w:b/>
          <w:bCs/>
          <w:color w:val="163A5A"/>
          <w:spacing w:val="60"/>
          <w:sz w:val="36"/>
          <w:szCs w:val="36"/>
        </w:rPr>
        <w:t xml:space="preserve">AURA</w:t>
      </w:r>
    </w:p>
    <w:p>
      <w:pPr>
        <w:spacing w:after="120"/>
        <w:jc w:val="center"/>
      </w:pPr>
      <w:r>
        <w:rPr>
          <w:color w:val="1A7F7A"/>
          <w:sz w:val="24"/>
          <w:szCs w:val="24"/>
        </w:rPr>
        <w:t xml:space="preserve">Evidence Intake · Validation · Decision Traceability</w:t>
      </w:r>
    </w:p>
    <w:p>
      <w:pPr>
        <w:spacing w:after="500"/>
        <w:jc w:val="center"/>
      </w:pPr>
      <w:r>
        <w:rPr>
          <w:color w:val="5B6B7C"/>
          <w:sz w:val="20"/>
          <w:szCs w:val="20"/>
        </w:rPr>
        <w:t xml:space="preserve">Requirements &amp; Architecture Series · MRS · PRS · SyRS · HLD · LLD · PDLC</w:t>
      </w:r>
    </w:p>
    <w:p>
      <w:pPr>
        <w:pBdr>
          <w:top w:val="single" w:color="163A5A" w:sz="12" w:space="6"/>
          <w:bottom w:val="single" w:color="163A5A" w:sz="12" w:space="6"/>
        </w:pBdr>
        <w:spacing w:after="300"/>
        <w:jc w:val="center"/>
      </w:pPr>
      <w:r>
        <w:rPr>
          <w:rFonts w:ascii="Cambria" w:cs="Cambria" w:eastAsia="Cambria" w:hAnsi="Cambria"/>
          <w:b/>
          <w:bCs/>
          <w:color w:val="163A5A"/>
          <w:sz w:val="44"/>
          <w:szCs w:val="44"/>
        </w:rPr>
        <w:t xml:space="preserve">AURA SYSTEM REQUIREMENTS SPECIFICATION</w:t>
      </w:r>
    </w:p>
    <w:p>
      <w:pPr>
        <w:spacing w:after="600"/>
        <w:jc w:val="center"/>
      </w:pPr>
      <w:r>
        <w:rPr>
          <w:i/>
          <w:iCs/>
          <w:color w:val="5B6B7C"/>
          <w:sz w:val="22"/>
          <w:szCs w:val="22"/>
        </w:rPr>
        <w:t xml:space="preserve">System-Level, Verifiable Requirements — Initial Baseline</w:t>
      </w:r>
    </w:p>
    <w:tbl>
      <w:tblPr>
        <w:tblW w:type="dxa" w:w="5783"/>
        <w:jc w:val="center"/>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tblGrid>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Document ID</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AURA-SYRS-1.0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Version</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Status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INITIAL BASELINE — FOR REVIEW</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Date</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2026-10-13</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Classification</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Prepared By</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 (organisation </w:t>
            </w:r>
            <w:r>
              <w:rPr>
                <w:b/>
                <w:bCs/>
                <w:color w:val="B7791F"/>
                <w:sz w:val="18"/>
                <w:szCs w:val="18"/>
              </w:rPr>
              <w:t xml:space="preserve">TBD</w:t>
            </w:r>
            <w:r>
              <w:rPr>
                <w:b w:val="false"/>
                <w:bCs w:val="false"/>
                <w:color w:val="222222"/>
                <w:sz w:val="18"/>
                <w:szCs w:val="18"/>
              </w:rPr>
              <w:t xml:space="preserve">)</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Standard</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29148:2018 §9.4</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Companion Docs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AURA-MRS-1.0 · AURA-PRS-1.0 · AURA-HLD-1.0 · AURA-LLD-1.0 · AURA-PDLC-1.0</w:t>
            </w:r>
          </w:p>
        </w:tc>
      </w:tr>
    </w:tbl>
    <w:p>
      <w:pPr>
        <w:spacing w:before="700"/>
        <w:jc w:val="center"/>
      </w:pPr>
      <w:r>
        <w:rPr>
          <w:b/>
          <w:bCs/>
          <w:color w:val="A61B1B"/>
          <w:sz w:val="18"/>
          <w:szCs w:val="18"/>
        </w:rPr>
        <w:t xml:space="preserve">Initial baseline derived exclusively from AURA-MRS-1.0, AURA-PRS-1.0 and AURA-HLD-1.0. Values not present in those documents are marked </w:t>
      </w:r>
      <w:r>
        <w:rPr>
          <w:b/>
          <w:bCs/>
          <w:color w:val="B7791F"/>
          <w:sz w:val="18"/>
          <w:szCs w:val="18"/>
        </w:rPr>
        <w:t xml:space="preserve">TBD</w:t>
      </w:r>
      <w:r>
        <w:rPr>
          <w:b/>
          <w:bCs/>
          <w:color w:val="A61B1B"/>
          <w:sz w:val="18"/>
          <w:szCs w:val="18"/>
        </w:rPr>
        <w:t xml:space="preserve">. Classification and distribution: </w:t>
      </w:r>
      <w:r>
        <w:rPr>
          <w:b/>
          <w:bCs/>
          <w:color w:val="B7791F"/>
          <w:sz w:val="18"/>
          <w:szCs w:val="18"/>
        </w:rPr>
        <w:t xml:space="preserve">TBD</w:t>
      </w:r>
      <w:r>
        <w:rPr>
          <w:b/>
          <w:bCs/>
          <w:color w:val="A61B1B"/>
          <w:sz w:val="18"/>
          <w:szCs w:val="18"/>
        </w:rPr>
        <w:t xml:space="preserve">.</w:t>
      </w:r>
    </w:p>
    <w:p>
      <w:r>
        <w:br w:type="page"/>
      </w:r>
    </w:p>
    <w:p>
      <w:pPr>
        <w:pBdr>
          <w:bottom w:val="single" w:color="1A7F7A" w:sz="6" w:space="2"/>
        </w:pBdr>
        <w:spacing w:after="120" w:before="240"/>
      </w:pPr>
      <w:r>
        <w:rPr>
          <w:rFonts w:ascii="Cambria" w:cs="Cambria" w:eastAsia="Cambria" w:hAnsi="Cambria"/>
          <w:b/>
          <w:bCs/>
          <w:color w:val="163A5A"/>
          <w:sz w:val="26"/>
          <w:szCs w:val="26"/>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Document ID</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AURA-SYRS-1.0</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Title</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System Requirements Specification — Aura</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Version</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1.0</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Status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Initial baseline for review</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Date</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Product</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 — controlled evidence intake, validation and decision traceability workflow</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Standard</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29148:2018 — System Requirements Specification information items, clause 9.4</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Source basis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AURA-MRS-1.0, AURA-PRS-1.0 and AURA-HLD-1.0 (finalized baselines). Reference documents supplied for formatting only; no content taken from them.</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Owner</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Series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 · AURA-PRS · AURA-SYRS · AURA-HLD · AURA-LLD · AURA-PDLC</w:t>
            </w:r>
          </w:p>
        </w:tc>
      </w:tr>
    </w:tbl>
    <w:p/>
    <w:p>
      <w:pPr>
        <w:pBdr>
          <w:bottom w:val="single" w:color="1A7F7A" w:sz="6" w:space="2"/>
        </w:pBdr>
        <w:spacing w:after="120" w:before="240"/>
      </w:pPr>
      <w:r>
        <w:rPr>
          <w:rFonts w:ascii="Cambria" w:cs="Cambria" w:eastAsia="Cambria" w:hAnsi="Cambria"/>
          <w:b/>
          <w:bCs/>
          <w:color w:val="163A5A"/>
          <w:sz w:val="26"/>
          <w:szCs w:val="26"/>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686"/>
        <w:gridCol w:w="1927"/>
        <w:gridCol w:w="4821"/>
      </w:tblGrid>
      <w:tr>
        <w:trPr>
          <w:cantSplit/>
          <w:tblHeader/>
        </w:trPr>
        <w:tc>
          <w:tcPr>
            <w:tcW w:type="dxa" w:w="120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Version</w:t>
            </w:r>
          </w:p>
        </w:tc>
        <w:tc>
          <w:tcPr>
            <w:tcW w:type="dxa" w:w="168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Date</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Author</w:t>
            </w:r>
          </w:p>
        </w:tc>
        <w:tc>
          <w:tcPr>
            <w:tcW w:type="dxa" w:w="482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Description</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1.0</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w:t>
            </w:r>
          </w:p>
        </w:tc>
        <w:tc>
          <w:tcPr>
            <w:tcW w:type="dxa" w:w="482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Initial baseline. System requirements derived from PR-01 – PR-12, NFR-01 – NFR-06, EC-01 – EC-07 and HLD controls; no new functionality introduced.</w:t>
            </w:r>
          </w:p>
        </w:tc>
      </w:tr>
    </w:tbl>
    <w:p>
      <w:pPr>
        <w:spacing w:after="120"/>
      </w:pPr>
    </w:p>
    <w:p>
      <w:pPr>
        <w:pBdr>
          <w:bottom w:val="single" w:color="1A7F7A" w:sz="6" w:space="2"/>
        </w:pBdr>
        <w:spacing w:after="120" w:before="240"/>
      </w:pPr>
      <w:r>
        <w:rPr>
          <w:rFonts w:ascii="Cambria" w:cs="Cambria" w:eastAsia="Cambria" w:hAnsi="Cambria"/>
          <w:b/>
          <w:bCs/>
          <w:color w:val="163A5A"/>
          <w:sz w:val="26"/>
          <w:szCs w:val="26"/>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3"/>
        <w:gridCol w:w="2322"/>
        <w:gridCol w:w="2322"/>
        <w:gridCol w:w="1511"/>
      </w:tblGrid>
      <w:tr>
        <w:trPr>
          <w:cantSplit/>
          <w:tblHeader/>
        </w:trPr>
        <w:tc>
          <w:tcPr>
            <w:tcW w:type="dxa" w:w="348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Role</w:t>
            </w:r>
          </w:p>
        </w:tc>
        <w:tc>
          <w:tcPr>
            <w:tcW w:type="dxa" w:w="23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Name</w:t>
            </w:r>
          </w:p>
        </w:tc>
        <w:tc>
          <w:tcPr>
            <w:tcW w:type="dxa" w:w="23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Signature</w:t>
            </w:r>
          </w:p>
        </w:tc>
        <w:tc>
          <w:tcPr>
            <w:tcW w:type="dxa" w:w="151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Date</w:t>
            </w:r>
          </w:p>
        </w:tc>
      </w:tr>
      <w:tr>
        <w:trPr>
          <w:cantSplit/>
        </w:trPr>
        <w:tc>
          <w:tcPr>
            <w:tcW w:type="dxa" w:w="348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Prepared by — Senior Software Architect</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Reviewed by — Product Management</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Reviewed by — Risk / Compliance</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Approved by — Product Owner</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bl>
    <w:p>
      <w:pPr>
        <w:spacing w:after="120"/>
      </w:pPr>
    </w:p>
    <w:p>
      <w:pPr>
        <w:pBdr>
          <w:bottom w:val="single" w:color="1A7F7A" w:sz="6" w:space="2"/>
        </w:pBdr>
        <w:spacing w:after="120" w:before="240"/>
      </w:pPr>
      <w:r>
        <w:rPr>
          <w:rFonts w:ascii="Cambria" w:cs="Cambria" w:eastAsia="Cambria" w:hAnsi="Cambria"/>
          <w:b/>
          <w:bCs/>
          <w:color w:val="163A5A"/>
          <w:sz w:val="26"/>
          <w:szCs w:val="26"/>
        </w:rPr>
        <w:t xml:space="preserve">Evidence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Marker</w:t>
            </w:r>
          </w:p>
        </w:tc>
        <w:tc>
          <w:tcPr>
            <w:tcW w:type="dxa" w:w="79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Meaning</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MRS §n</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AURA-MRS-1.0 — Market Requirements Specification (finalized baseline).</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PRS §n</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AURA-PRS-1.0 — Product Requirements Specification (finalized baseline).</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HLD §n</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AURA-HLD-1.0 — High-Level Design (finalized baseline).</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ID references</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Identifiers defined in the finalized baseline: MR, MP, MS, SM, OQ, CN, GC, RK (MRS); PR, NFR, EC, OD, UC (PRS); C, IF, SC, OP, AP, AD, PD, AR, DG (HLD).</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Stated</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Content taken directly from the finalized MRS, PRS or HLD; wording preserved where practical.</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Derived</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Structural derivation by the architect (identifier assignment, decomposition, allocation, trace links, proposed verification method) from stated content. No new requirement, value or technology is introduced; derived items require confirmation.</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 / </w:t>
            </w:r>
            <w:r>
              <w:rPr>
                <w:b/>
                <w:bCs/>
                <w:color w:val="B7791F"/>
                <w:sz w:val="18"/>
                <w:szCs w:val="18"/>
              </w:rPr>
              <w:t xml:space="preserve">TBC</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To be determined / to be confirmed. The baseline does not provide this information; no value is asserted.</w:t>
            </w:r>
          </w:p>
        </w:tc>
      </w:tr>
    </w:tbl>
    <w:p>
      <w:pPr>
        <w:spacing w:after="120"/>
      </w:pPr>
    </w:p>
    <w:p>
      <w:r>
        <w:br w:type="page"/>
      </w:r>
    </w:p>
    <w:p>
      <w:pPr>
        <w:pBdr>
          <w:bottom w:val="single" w:color="1A7F7A" w:sz="6" w:space="2"/>
        </w:pBdr>
        <w:spacing w:after="120" w:before="240"/>
      </w:pPr>
      <w:r>
        <w:rPr>
          <w:rFonts w:ascii="Cambria" w:cs="Cambria" w:eastAsia="Cambria" w:hAnsi="Cambria"/>
          <w:b/>
          <w:bCs/>
          <w:color w:val="163A5A"/>
          <w:sz w:val="26"/>
          <w:szCs w:val="26"/>
        </w:rPr>
        <w:t xml:space="preserve">Table of Contents</w:t>
      </w:r>
    </w:p>
    <w:sdt>
      <w:sdtPr>
        <w:alias w:val="Table of Contents"/>
      </w:sdtPr>
      <w:sdtContent>
        <w:p>
          <w:pPr>
            <w:pStyle w:val="TOC1"/>
          </w:pPr>
          <w:r>
            <w:fldChar w:fldCharType="begin" w:dirty="true"/>
          </w:r>
          <w:r>
            <w:instrText xml:space="preserve">TOC \h \o "1-3" \z</w:instrText>
          </w:r>
          <w:r>
            <w:fldChar w:fldCharType="separate"/>
          </w:r>
          <w:r>
            <w:t xml:space="preserve">1 Introduction</w:t>
          </w:r>
          <w:r>
            <w:tab/>
          </w:r>
          <w:r>
            <w:t>6</w:t>
          </w:r>
        </w:p>
        <w:p>
          <w:pPr>
            <w:pStyle w:val="TOC2"/>
          </w:pPr>
          <w:r>
            <w:t xml:space="preserve">1.1 System Purpose</w:t>
          </w:r>
          <w:r>
            <w:tab/>
          </w:r>
          <w:r>
            <w:t>6</w:t>
          </w:r>
        </w:p>
        <w:p>
          <w:pPr>
            <w:pStyle w:val="TOC2"/>
          </w:pPr>
          <w:r>
            <w:t xml:space="preserve">1.2 System Scope</w:t>
          </w:r>
          <w:r>
            <w:tab/>
          </w:r>
          <w:r>
            <w:t>6</w:t>
          </w:r>
        </w:p>
        <w:p>
          <w:pPr>
            <w:pStyle w:val="TOC2"/>
          </w:pPr>
          <w:r>
            <w:t xml:space="preserve">1.3 System Overview</w:t>
          </w:r>
          <w:r>
            <w:tab/>
          </w:r>
          <w:r>
            <w:t>7</w:t>
          </w:r>
        </w:p>
        <w:p>
          <w:pPr>
            <w:pStyle w:val="TOC3"/>
          </w:pPr>
          <w:r>
            <w:t xml:space="preserve">1.3.1 System Context</w:t>
          </w:r>
          <w:r>
            <w:tab/>
          </w:r>
          <w:r>
            <w:t>7</w:t>
          </w:r>
        </w:p>
        <w:p>
          <w:pPr>
            <w:pStyle w:val="TOC3"/>
          </w:pPr>
          <w:r>
            <w:t xml:space="preserve">1.3.2 System Functions</w:t>
          </w:r>
          <w:r>
            <w:tab/>
          </w:r>
          <w:r>
            <w:t>7</w:t>
          </w:r>
        </w:p>
        <w:p>
          <w:pPr>
            <w:pStyle w:val="TOC3"/>
          </w:pPr>
          <w:r>
            <w:t xml:space="preserve">1.3.3 User Characteristics</w:t>
          </w:r>
          <w:r>
            <w:tab/>
          </w:r>
          <w:r>
            <w:t>8</w:t>
          </w:r>
        </w:p>
        <w:p>
          <w:pPr>
            <w:pStyle w:val="TOC2"/>
          </w:pPr>
          <w:r>
            <w:t xml:space="preserve">1.4 Definitions and Conventions</w:t>
          </w:r>
          <w:r>
            <w:tab/>
          </w:r>
          <w:r>
            <w:t>9</w:t>
          </w:r>
        </w:p>
        <w:p>
          <w:pPr>
            <w:pStyle w:val="TOC1"/>
          </w:pPr>
          <w:r>
            <w:t xml:space="preserve">2 References</w:t>
          </w:r>
          <w:r>
            <w:tab/>
          </w:r>
          <w:r>
            <w:t>10</w:t>
          </w:r>
        </w:p>
        <w:p>
          <w:pPr>
            <w:pStyle w:val="TOC1"/>
          </w:pPr>
          <w:r>
            <w:t xml:space="preserve">3 System Requirements</w:t>
          </w:r>
          <w:r>
            <w:tab/>
          </w:r>
          <w:r>
            <w:t>11</w:t>
          </w:r>
        </w:p>
        <w:p>
          <w:pPr>
            <w:pStyle w:val="TOC2"/>
          </w:pPr>
          <w:r>
            <w:t xml:space="preserve">3.1 Functional Requirements</w:t>
          </w:r>
          <w:r>
            <w:tab/>
          </w:r>
          <w:r>
            <w:t>11</w:t>
          </w:r>
        </w:p>
        <w:p>
          <w:pPr>
            <w:pStyle w:val="TOC3"/>
          </w:pPr>
          <w:r>
            <w:t xml:space="preserve">3.1.1 Case and evidence intake</w:t>
          </w:r>
          <w:r>
            <w:tab/>
          </w:r>
          <w:r>
            <w:t>11</w:t>
          </w:r>
        </w:p>
        <w:p>
          <w:pPr>
            <w:pStyle w:val="TOC3"/>
          </w:pPr>
          <w:r>
            <w:t xml:space="preserve">3.1.2 Validation</w:t>
          </w:r>
          <w:r>
            <w:tab/>
          </w:r>
          <w:r>
            <w:t>11</w:t>
          </w:r>
        </w:p>
        <w:p>
          <w:pPr>
            <w:pStyle w:val="TOC3"/>
          </w:pPr>
          <w:r>
            <w:t xml:space="preserve">3.1.3 Decision</w:t>
          </w:r>
          <w:r>
            <w:tab/>
          </w:r>
          <w:r>
            <w:t>11</w:t>
          </w:r>
        </w:p>
        <w:p>
          <w:pPr>
            <w:pStyle w:val="TOC3"/>
          </w:pPr>
          <w:r>
            <w:t xml:space="preserve">3.1.4 Audit</w:t>
          </w:r>
          <w:r>
            <w:tab/>
          </w:r>
          <w:r>
            <w:t>12</w:t>
          </w:r>
        </w:p>
        <w:p>
          <w:pPr>
            <w:pStyle w:val="TOC3"/>
          </w:pPr>
          <w:r>
            <w:t xml:space="preserve">3.1.5 Access control</w:t>
          </w:r>
          <w:r>
            <w:tab/>
          </w:r>
          <w:r>
            <w:t>12</w:t>
          </w:r>
        </w:p>
        <w:p>
          <w:pPr>
            <w:pStyle w:val="TOC3"/>
          </w:pPr>
          <w:r>
            <w:t xml:space="preserve">3.1.6 Exception handling</w:t>
          </w:r>
          <w:r>
            <w:tab/>
          </w:r>
          <w:r>
            <w:t>12</w:t>
          </w:r>
        </w:p>
        <w:p>
          <w:pPr>
            <w:pStyle w:val="TOC3"/>
          </w:pPr>
          <w:r>
            <w:t xml:space="preserve">3.1.7 Search and export</w:t>
          </w:r>
          <w:r>
            <w:tab/>
          </w:r>
          <w:r>
            <w:t>13</w:t>
          </w:r>
        </w:p>
        <w:p>
          <w:pPr>
            <w:pStyle w:val="TOC3"/>
          </w:pPr>
          <w:r>
            <w:t xml:space="preserve">3.1.8 Integration</w:t>
          </w:r>
          <w:r>
            <w:tab/>
          </w:r>
          <w:r>
            <w:t>13</w:t>
          </w:r>
        </w:p>
        <w:p>
          <w:pPr>
            <w:pStyle w:val="TOC3"/>
          </w:pPr>
          <w:r>
            <w:t xml:space="preserve">3.1.9 Observability</w:t>
          </w:r>
          <w:r>
            <w:tab/>
          </w:r>
          <w:r>
            <w:t>13</w:t>
          </w:r>
        </w:p>
        <w:p>
          <w:pPr>
            <w:pStyle w:val="TOC2"/>
          </w:pPr>
          <w:r>
            <w:t xml:space="preserve">3.2 Usability Requirements</w:t>
          </w:r>
          <w:r>
            <w:tab/>
          </w:r>
          <w:r>
            <w:t>13</w:t>
          </w:r>
        </w:p>
        <w:p>
          <w:pPr>
            <w:pStyle w:val="TOC2"/>
          </w:pPr>
          <w:r>
            <w:t xml:space="preserve">3.3 Performance Requirements</w:t>
          </w:r>
          <w:r>
            <w:tab/>
          </w:r>
          <w:r>
            <w:t>13</w:t>
          </w:r>
        </w:p>
        <w:p>
          <w:pPr>
            <w:pStyle w:val="TOC2"/>
          </w:pPr>
          <w:r>
            <w:t xml:space="preserve">3.4 System Interfaces</w:t>
          </w:r>
          <w:r>
            <w:tab/>
          </w:r>
          <w:r>
            <w:t>14</w:t>
          </w:r>
        </w:p>
        <w:p>
          <w:pPr>
            <w:pStyle w:val="TOC2"/>
          </w:pPr>
          <w:r>
            <w:t xml:space="preserve">3.5 System Operations</w:t>
          </w:r>
          <w:r>
            <w:tab/>
          </w:r>
          <w:r>
            <w:t>14</w:t>
          </w:r>
        </w:p>
        <w:p>
          <w:pPr>
            <w:pStyle w:val="TOC2"/>
          </w:pPr>
          <w:r>
            <w:t xml:space="preserve">3.6 System Modes and States</w:t>
          </w:r>
          <w:r>
            <w:tab/>
          </w:r>
          <w:r>
            <w:t>15</w:t>
          </w:r>
        </w:p>
        <w:p>
          <w:pPr>
            <w:pStyle w:val="TOC2"/>
          </w:pPr>
          <w:r>
            <w:t xml:space="preserve">3.7 Physical Characteristics</w:t>
          </w:r>
          <w:r>
            <w:tab/>
          </w:r>
          <w:r>
            <w:t>15</w:t>
          </w:r>
        </w:p>
        <w:p>
          <w:pPr>
            <w:pStyle w:val="TOC2"/>
          </w:pPr>
          <w:r>
            <w:t xml:space="preserve">3.8 Environmental Conditions</w:t>
          </w:r>
          <w:r>
            <w:tab/>
          </w:r>
          <w:r>
            <w:t>15</w:t>
          </w:r>
        </w:p>
        <w:p>
          <w:pPr>
            <w:pStyle w:val="TOC2"/>
          </w:pPr>
          <w:r>
            <w:t xml:space="preserve">3.9 System Security</w:t>
          </w:r>
          <w:r>
            <w:tab/>
          </w:r>
          <w:r>
            <w:t>16</w:t>
          </w:r>
        </w:p>
        <w:p>
          <w:pPr>
            <w:pStyle w:val="TOC2"/>
          </w:pPr>
          <w:r>
            <w:t xml:space="preserve">3.10 Information Management</w:t>
          </w:r>
          <w:r>
            <w:tab/>
          </w:r>
          <w:r>
            <w:t>16</w:t>
          </w:r>
        </w:p>
        <w:p>
          <w:pPr>
            <w:pStyle w:val="TOC2"/>
          </w:pPr>
          <w:r>
            <w:t xml:space="preserve">3.11 Policies and Regulations</w:t>
          </w:r>
          <w:r>
            <w:tab/>
          </w:r>
          <w:r>
            <w:t>16</w:t>
          </w:r>
        </w:p>
        <w:p>
          <w:pPr>
            <w:pStyle w:val="TOC2"/>
          </w:pPr>
          <w:r>
            <w:t xml:space="preserve">3.12 System Life Cycle Sustainment</w:t>
          </w:r>
          <w:r>
            <w:tab/>
          </w:r>
          <w:r>
            <w:t>16</w:t>
          </w:r>
        </w:p>
        <w:p>
          <w:pPr>
            <w:pStyle w:val="TOC2"/>
          </w:pPr>
          <w:r>
            <w:t xml:space="preserve">3.13 Packaging and Delivery</w:t>
          </w:r>
          <w:r>
            <w:tab/>
          </w:r>
          <w:r>
            <w:t>17</w:t>
          </w:r>
        </w:p>
        <w:p>
          <w:pPr>
            <w:pStyle w:val="TOC1"/>
          </w:pPr>
          <w:r>
            <w:t xml:space="preserve">4 Verification</w:t>
          </w:r>
          <w:r>
            <w:tab/>
          </w:r>
          <w:r>
            <w:t>18</w:t>
          </w:r>
        </w:p>
        <w:p>
          <w:pPr>
            <w:pStyle w:val="TOC2"/>
          </w:pPr>
          <w:r>
            <w:t xml:space="preserve">4.1 Requirement Verification Matrix</w:t>
          </w:r>
          <w:r>
            <w:tab/>
          </w:r>
          <w:r>
            <w:t>18</w:t>
          </w:r>
        </w:p>
        <w:p>
          <w:pPr>
            <w:pStyle w:val="TOC1"/>
          </w:pPr>
          <w:r>
            <w:t xml:space="preserve">5 Traceability</w:t>
          </w:r>
          <w:r>
            <w:tab/>
          </w:r>
          <w:r>
            <w:t>21</w:t>
          </w:r>
        </w:p>
        <w:p>
          <w:pPr>
            <w:pStyle w:val="TOC2"/>
          </w:pPr>
          <w:r>
            <w:t xml:space="preserve">5.1 Product Requirement → System Requirement</w:t>
          </w:r>
          <w:r>
            <w:tab/>
          </w:r>
          <w:r>
            <w:t>21</w:t>
          </w:r>
        </w:p>
        <w:p>
          <w:pPr>
            <w:pStyle w:val="TOC2"/>
          </w:pPr>
          <w:r>
            <w:t xml:space="preserve">5.2 Non-Functional Requirement and Exception Case → System Requirement</w:t>
          </w:r>
          <w:r>
            <w:tab/>
          </w:r>
          <w:r>
            <w:t>21</w:t>
          </w:r>
        </w:p>
        <w:p>
          <w:pPr>
            <w:pStyle w:val="TOC2"/>
          </w:pPr>
          <w:r>
            <w:t xml:space="preserve">5.3 HLD Control → System Requirement</w:t>
          </w:r>
          <w:r>
            <w:tab/>
          </w:r>
          <w:r>
            <w:t>22</w:t>
          </w:r>
        </w:p>
        <w:p>
          <w:pPr>
            <w:pStyle w:val="TOC1"/>
          </w:pPr>
          <w:r>
            <w:t xml:space="preserve">Appendix A — Assumptions and Dependencies</w:t>
          </w:r>
          <w:r>
            <w:tab/>
          </w:r>
          <w:r>
            <w:t>23</w:t>
          </w:r>
        </w:p>
        <w:p>
          <w:pPr>
            <w:pStyle w:val="TOC1"/>
          </w:pPr>
          <w:r>
            <w:t xml:space="preserve">Appendix B — Open Issues</w:t>
          </w:r>
          <w:r>
            <w:tab/>
          </w:r>
          <w:r>
            <w:t>24</w:t>
          </w:r>
          <w:r>
            <w:fldChar w:fldCharType="end"/>
          </w:r>
        </w:p>
      </w:sdtContent>
    </w:sdt>
    <w:p>
      <w:r>
        <w:br w:type="page"/>
      </w:r>
    </w:p>
    <w:p>
      <w:pPr>
        <w:pBdr>
          <w:bottom w:val="single" w:color="1A7F7A" w:sz="6" w:space="2"/>
        </w:pBdr>
        <w:spacing w:after="120" w:before="240"/>
      </w:pPr>
      <w:r>
        <w:rPr>
          <w:rFonts w:ascii="Cambria" w:cs="Cambria" w:eastAsia="Cambria" w:hAnsi="Cambria"/>
          <w:b/>
          <w:bCs/>
          <w:color w:val="163A5A"/>
          <w:sz w:val="26"/>
          <w:szCs w:val="26"/>
        </w:rPr>
        <w:t xml:space="preserve">List of Figures</w:t>
      </w:r>
    </w:p>
    <w:sdt>
      <w:sdtPr>
        <w:alias w:val="List of Figures"/>
      </w:sdtPr>
      <w:sdtContent>
        <w:p>
          <w:pPr>
            <w:pStyle w:val="TableofFigures"/>
          </w:pPr>
          <w:r>
            <w:fldChar w:fldCharType="begin" w:dirty="true"/>
          </w:r>
          <w:r>
            <w:instrText xml:space="preserve">TOC \c "Figure" \h</w:instrText>
          </w:r>
          <w:r>
            <w:fldChar w:fldCharType="separate"/>
          </w:r>
          <w:r>
            <w:t xml:space="preserve">Figure 1 — System context and system boundary</w:t>
          </w:r>
          <w:r>
            <w:tab/>
          </w:r>
          <w:r>
            <w:t>7</w:t>
          </w:r>
        </w:p>
        <w:p>
          <w:pPr>
            <w:pStyle w:val="TableofFigures"/>
          </w:pPr>
          <w:r>
            <w:t xml:space="preserve">Figure 2 — System function decomposition and requirement groups</w:t>
          </w:r>
          <w:r>
            <w:tab/>
          </w:r>
          <w:r>
            <w:t>8</w:t>
          </w:r>
        </w:p>
        <w:p>
          <w:pPr>
            <w:pStyle w:val="TableofFigures"/>
          </w:pPr>
          <w:r>
            <w:t xml:space="preserve">Figure 3 — Object states and system modes</w:t>
          </w:r>
          <w:r>
            <w:tab/>
          </w:r>
          <w:r>
            <w:t>15</w:t>
          </w:r>
        </w:p>
        <w:p>
          <w:pPr>
            <w:pStyle w:val="TableofFigures"/>
          </w:pPr>
          <w:r>
            <w:t xml:space="preserve">Figure 4 — Traceability chain across the Aura specification set</w:t>
          </w:r>
          <w:r>
            <w:tab/>
          </w:r>
          <w:r>
            <w:t>21</w:t>
          </w:r>
          <w:r>
            <w:fldChar w:fldCharType="end"/>
          </w:r>
        </w:p>
      </w:sdtContent>
    </w:sdt>
    <w:p>
      <w:pPr>
        <w:pBdr>
          <w:bottom w:val="single" w:color="1A7F7A" w:sz="6" w:space="2"/>
        </w:pBdr>
        <w:spacing w:after="120" w:before="240"/>
      </w:pPr>
      <w:r>
        <w:rPr>
          <w:rFonts w:ascii="Cambria" w:cs="Cambria" w:eastAsia="Cambria" w:hAnsi="Cambria"/>
          <w:b/>
          <w:bCs/>
          <w:color w:val="163A5A"/>
          <w:sz w:val="26"/>
          <w:szCs w:val="26"/>
        </w:rPr>
        <w:t xml:space="preserve">List of Tables</w:t>
      </w:r>
    </w:p>
    <w:sdt>
      <w:sdtPr>
        <w:alias w:val="List of Tables"/>
      </w:sdtPr>
      <w:sdtContent>
        <w:p>
          <w:pPr>
            <w:pStyle w:val="TableofFigures"/>
          </w:pPr>
          <w:r>
            <w:fldChar w:fldCharType="begin" w:dirty="true"/>
          </w:r>
          <w:r>
            <w:instrText xml:space="preserve">TOC \c "Table" \h</w:instrText>
          </w:r>
          <w:r>
            <w:fldChar w:fldCharType="separate"/>
          </w:r>
          <w:r>
            <w:t xml:space="preserve">Table 1 — User classes</w:t>
          </w:r>
          <w:r>
            <w:tab/>
          </w:r>
          <w:r>
            <w:t>8</w:t>
          </w:r>
        </w:p>
        <w:p>
          <w:pPr>
            <w:pStyle w:val="TableofFigures"/>
          </w:pPr>
          <w:r>
            <w:t xml:space="preserve">Table 2 — Definitions and conventions</w:t>
          </w:r>
          <w:r>
            <w:tab/>
          </w:r>
          <w:r>
            <w:t>9</w:t>
          </w:r>
        </w:p>
        <w:p>
          <w:pPr>
            <w:pStyle w:val="TableofFigures"/>
          </w:pPr>
          <w:r>
            <w:t xml:space="preserve">Table 3 — References</w:t>
          </w:r>
          <w:r>
            <w:tab/>
          </w:r>
          <w:r>
            <w:t>10</w:t>
          </w:r>
        </w:p>
        <w:p>
          <w:pPr>
            <w:pStyle w:val="TableofFigures"/>
          </w:pPr>
          <w:r>
            <w:t xml:space="preserve">Table 4 — Case and evidence intake requirements</w:t>
          </w:r>
          <w:r>
            <w:tab/>
          </w:r>
          <w:r>
            <w:t>11</w:t>
          </w:r>
        </w:p>
        <w:p>
          <w:pPr>
            <w:pStyle w:val="TableofFigures"/>
          </w:pPr>
          <w:r>
            <w:t xml:space="preserve">Table 5 — Validation requirements</w:t>
          </w:r>
          <w:r>
            <w:tab/>
          </w:r>
          <w:r>
            <w:t>11</w:t>
          </w:r>
        </w:p>
        <w:p>
          <w:pPr>
            <w:pStyle w:val="TableofFigures"/>
          </w:pPr>
          <w:r>
            <w:t xml:space="preserve">Table 6 — Decision requirements</w:t>
          </w:r>
          <w:r>
            <w:tab/>
          </w:r>
          <w:r>
            <w:t>11</w:t>
          </w:r>
        </w:p>
        <w:p>
          <w:pPr>
            <w:pStyle w:val="TableofFigures"/>
          </w:pPr>
          <w:r>
            <w:t xml:space="preserve">Table 7 — Audit requirements</w:t>
          </w:r>
          <w:r>
            <w:tab/>
          </w:r>
          <w:r>
            <w:t>12</w:t>
          </w:r>
        </w:p>
        <w:p>
          <w:pPr>
            <w:pStyle w:val="TableofFigures"/>
          </w:pPr>
          <w:r>
            <w:t xml:space="preserve">Table 8 — Access control requirements</w:t>
          </w:r>
          <w:r>
            <w:tab/>
          </w:r>
          <w:r>
            <w:t>12</w:t>
          </w:r>
        </w:p>
        <w:p>
          <w:pPr>
            <w:pStyle w:val="TableofFigures"/>
          </w:pPr>
          <w:r>
            <w:t xml:space="preserve">Table 9 — Exception handling requirements</w:t>
          </w:r>
          <w:r>
            <w:tab/>
          </w:r>
          <w:r>
            <w:t>12</w:t>
          </w:r>
        </w:p>
        <w:p>
          <w:pPr>
            <w:pStyle w:val="TableofFigures"/>
          </w:pPr>
          <w:r>
            <w:t xml:space="preserve">Table 10 — Search and export requirements</w:t>
          </w:r>
          <w:r>
            <w:tab/>
          </w:r>
          <w:r>
            <w:t>13</w:t>
          </w:r>
        </w:p>
        <w:p>
          <w:pPr>
            <w:pStyle w:val="TableofFigures"/>
          </w:pPr>
          <w:r>
            <w:t xml:space="preserve">Table 11 — Integration requirements</w:t>
          </w:r>
          <w:r>
            <w:tab/>
          </w:r>
          <w:r>
            <w:t>13</w:t>
          </w:r>
        </w:p>
        <w:p>
          <w:pPr>
            <w:pStyle w:val="TableofFigures"/>
          </w:pPr>
          <w:r>
            <w:t xml:space="preserve">Table 12 — Observability requirements</w:t>
          </w:r>
          <w:r>
            <w:tab/>
          </w:r>
          <w:r>
            <w:t>13</w:t>
          </w:r>
        </w:p>
        <w:p>
          <w:pPr>
            <w:pStyle w:val="TableofFigures"/>
          </w:pPr>
          <w:r>
            <w:t xml:space="preserve">Table 13 — Usability requirements</w:t>
          </w:r>
          <w:r>
            <w:tab/>
          </w:r>
          <w:r>
            <w:t>13</w:t>
          </w:r>
        </w:p>
        <w:p>
          <w:pPr>
            <w:pStyle w:val="TableofFigures"/>
          </w:pPr>
          <w:r>
            <w:t xml:space="preserve">Table 14 — Performance requirements</w:t>
          </w:r>
          <w:r>
            <w:tab/>
          </w:r>
          <w:r>
            <w:t>14</w:t>
          </w:r>
        </w:p>
        <w:p>
          <w:pPr>
            <w:pStyle w:val="TableofFigures"/>
          </w:pPr>
          <w:r>
            <w:t xml:space="preserve">Table 15 — Performance parameters</w:t>
          </w:r>
          <w:r>
            <w:tab/>
          </w:r>
          <w:r>
            <w:t>14</w:t>
          </w:r>
        </w:p>
        <w:p>
          <w:pPr>
            <w:pStyle w:val="TableofFigures"/>
          </w:pPr>
          <w:r>
            <w:t xml:space="preserve">Table 16 — System interfaces</w:t>
          </w:r>
          <w:r>
            <w:tab/>
          </w:r>
          <w:r>
            <w:t>14</w:t>
          </w:r>
        </w:p>
        <w:p>
          <w:pPr>
            <w:pStyle w:val="TableofFigures"/>
          </w:pPr>
          <w:r>
            <w:t xml:space="preserve">Table 17 — Operational requirements</w:t>
          </w:r>
          <w:r>
            <w:tab/>
          </w:r>
          <w:r>
            <w:t>14</w:t>
          </w:r>
        </w:p>
        <w:p>
          <w:pPr>
            <w:pStyle w:val="TableofFigures"/>
          </w:pPr>
          <w:r>
            <w:t xml:space="preserve">Table 18 — Object state summary</w:t>
          </w:r>
          <w:r>
            <w:tab/>
          </w:r>
          <w:r>
            <w:t>15</w:t>
          </w:r>
        </w:p>
        <w:p>
          <w:pPr>
            <w:pStyle w:val="TableofFigures"/>
          </w:pPr>
          <w:r>
            <w:t xml:space="preserve">Table 19 — Security requirements</w:t>
          </w:r>
          <w:r>
            <w:tab/>
          </w:r>
          <w:r>
            <w:t>16</w:t>
          </w:r>
        </w:p>
        <w:p>
          <w:pPr>
            <w:pStyle w:val="TableofFigures"/>
          </w:pPr>
          <w:r>
            <w:t xml:space="preserve">Table 20 — Information management requirements</w:t>
          </w:r>
          <w:r>
            <w:tab/>
          </w:r>
          <w:r>
            <w:t>16</w:t>
          </w:r>
        </w:p>
        <w:p>
          <w:pPr>
            <w:pStyle w:val="TableofFigures"/>
          </w:pPr>
          <w:r>
            <w:t xml:space="preserve">Table 21 — Policy requirements</w:t>
          </w:r>
          <w:r>
            <w:tab/>
          </w:r>
          <w:r>
            <w:t>16</w:t>
          </w:r>
        </w:p>
        <w:p>
          <w:pPr>
            <w:pStyle w:val="TableofFigures"/>
          </w:pPr>
          <w:r>
            <w:t xml:space="preserve">Table 22 — Life cycle sustainment requirements</w:t>
          </w:r>
          <w:r>
            <w:tab/>
          </w:r>
          <w:r>
            <w:t>16</w:t>
          </w:r>
        </w:p>
        <w:p>
          <w:pPr>
            <w:pStyle w:val="TableofFigures"/>
          </w:pPr>
          <w:r>
            <w:t xml:space="preserve">Table 23 — Verification summary by requirement group</w:t>
          </w:r>
          <w:r>
            <w:tab/>
          </w:r>
          <w:r>
            <w:t>18</w:t>
          </w:r>
        </w:p>
        <w:p>
          <w:pPr>
            <w:pStyle w:val="TableofFigures"/>
          </w:pPr>
          <w:r>
            <w:t xml:space="preserve">Table 24 — Requirement verification matrix</w:t>
          </w:r>
          <w:r>
            <w:tab/>
          </w:r>
          <w:r>
            <w:t>18</w:t>
          </w:r>
        </w:p>
        <w:p>
          <w:pPr>
            <w:pStyle w:val="TableofFigures"/>
          </w:pPr>
          <w:r>
            <w:t xml:space="preserve">Table 25 — PR → SYS traceability</w:t>
          </w:r>
          <w:r>
            <w:tab/>
          </w:r>
          <w:r>
            <w:t>21</w:t>
          </w:r>
        </w:p>
        <w:p>
          <w:pPr>
            <w:pStyle w:val="TableofFigures"/>
          </w:pPr>
          <w:r>
            <w:t xml:space="preserve">Table 26 — NFR / EC → SYS traceability</w:t>
          </w:r>
          <w:r>
            <w:tab/>
          </w:r>
          <w:r>
            <w:t>21</w:t>
          </w:r>
        </w:p>
        <w:p>
          <w:pPr>
            <w:pStyle w:val="TableofFigures"/>
          </w:pPr>
          <w:r>
            <w:t xml:space="preserve">Table 27 — HLD control → SYS traceability</w:t>
          </w:r>
          <w:r>
            <w:tab/>
          </w:r>
          <w:r>
            <w:t>22</w:t>
          </w:r>
        </w:p>
        <w:p>
          <w:pPr>
            <w:pStyle w:val="TableofFigures"/>
          </w:pPr>
          <w:r>
            <w:t xml:space="preserve">Table 28 — Open issues</w:t>
          </w:r>
          <w:r>
            <w:tab/>
          </w:r>
          <w:r>
            <w:t>24</w:t>
          </w:r>
          <w:r>
            <w:fldChar w:fldCharType="end"/>
          </w:r>
        </w:p>
      </w:sdtContent>
    </w:sdt>
    <w:p>
      <w:pPr>
        <w:pStyle w:val="Heading1"/>
      </w:pPr>
      <w:r>
        <w:t xml:space="preserve">1 Introduction</w:t>
      </w:r>
    </w:p>
    <w:p>
      <w:pPr>
        <w:pStyle w:val="Heading2"/>
      </w:pPr>
      <w:r>
        <w:t xml:space="preserve">1.1 System Purpose</w:t>
      </w:r>
    </w:p>
    <w:p>
      <w:pPr>
        <w:spacing w:after="120"/>
      </w:pPr>
      <w:r>
        <w:t xml:space="preserve">The Aura system provides a controlled workflow for evidence intake, validation, decision traceability, and audit-ready reconstruction (PRS §1.2). It captures evidence with source, timestamp and ownership metadata, validates it against configurable versioned rules, records decisions with their rationale and the evidence and rule versions used, and keeps a tamper-evident history so that a decision can be reconstructed for review or audit (MR-01 – MR-05).</w:t>
      </w:r>
    </w:p>
    <w:p>
      <w:pPr>
        <w:pStyle w:val="Heading2"/>
      </w:pPr>
      <w:r>
        <w:t xml:space="preserve">1.2 System Scope</w:t>
      </w:r>
    </w:p>
    <w:p>
      <w:pPr>
        <w:spacing w:after="120"/>
      </w:pPr>
      <w:r>
        <w:t xml:space="preserve">The system comprises the ten logical components defined in HLD §4.1: web client / operator console (C-01), API gateway and identity boundary (C-02), case management (C-03), evidence ingestion and metadata (C-04), validation/rules (C-05), decision record (C-06), audit/event history (C-07), integration adapters (C-08), relational data store and protected object storage (C-09), and monitoring, logging, alerting and backup services (C-10).</w:t>
      </w:r>
    </w:p>
    <w:p>
      <w:pPr>
        <w:pStyle w:val="ListParagraph"/>
        <w:numPr>
          <w:ilvl w:val="0"/>
          <w:numId w:val="2"/>
        </w:numPr>
        <w:spacing w:after="60"/>
      </w:pPr>
      <w:r>
        <w:rPr>
          <w:b/>
          <w:bCs/>
        </w:rPr>
        <w:t xml:space="preserve">External to the system:</w:t>
      </w:r>
      <w:r>
        <w:t xml:space="preserve"> users (UC-01 – UC-05), identity provider (</w:t>
      </w:r>
      <w:r>
        <w:rPr>
          <w:b/>
          <w:bCs/>
          <w:color w:val="B7791F"/>
        </w:rPr>
        <w:t xml:space="preserve">TBD</w:t>
      </w:r>
      <w:r>
        <w:t xml:space="preserve">, PD-03), bank LOS/LMS/core systems (</w:t>
      </w:r>
      <w:r>
        <w:rPr>
          <w:b/>
          <w:bCs/>
          <w:color w:val="B7791F"/>
        </w:rPr>
        <w:t xml:space="preserve">TBD</w:t>
      </w:r>
      <w:r>
        <w:t xml:space="preserve">, OQ-05), instruments/devices (</w:t>
      </w:r>
      <w:r>
        <w:rPr>
          <w:b/>
          <w:bCs/>
          <w:color w:val="B7791F"/>
        </w:rPr>
        <w:t xml:space="preserve">TBD</w:t>
      </w:r>
      <w:r>
        <w:t xml:space="preserve">, OQ-02).</w:t>
      </w:r>
    </w:p>
    <w:p>
      <w:pPr>
        <w:pStyle w:val="ListParagraph"/>
        <w:numPr>
          <w:ilvl w:val="0"/>
          <w:numId w:val="2"/>
        </w:numPr>
        <w:spacing w:after="60"/>
      </w:pPr>
      <w:r>
        <w:rPr>
          <w:b/>
          <w:bCs/>
        </w:rPr>
        <w:t xml:space="preserve">Not yet determined:</w:t>
      </w:r>
      <w:r>
        <w:t xml:space="preserve"> deployment model, tenancy, storage technology, eventing, key management and DR objectives (PD-01 – PD-07); supported evidence types, policy rules, decision authority and acceptance thresholds (OD-01 – OD-07).</w:t>
      </w:r>
    </w:p>
    <w:p>
      <w:pPr>
        <w:pStyle w:val="Heading2"/>
      </w:pPr>
      <w:r>
        <w:t xml:space="preserve">1.3 System Overview</w:t>
      </w:r>
    </w:p>
    <w:p>
      <w:pPr>
        <w:pStyle w:val="Heading3"/>
      </w:pPr>
      <w:r>
        <w:t xml:space="preserve">1.3.1 System Context</w:t>
      </w:r>
    </w:p>
    <w:p>
      <w:pPr>
        <w:keepNext/>
        <w:spacing w:after="60" w:before="120" w:line="240" w:lineRule="auto"/>
        <w:jc w:val="center"/>
      </w:pPr>
      <w:r>
        <w:drawing>
          <wp:inline distT="0" distB="0" distL="0" distR="0">
            <wp:extent cx="6076950" cy="4838700"/>
            <wp:effectExtent t="0" r="0" b="0" l="0"/>
            <wp:docPr id="1" name="System context and system boundary" descr="System context and system boundary" title="System context and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76950" cy="483870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w:t>
      </w:r>
      <w:r>
        <w:fldChar w:fldCharType="end"/>
      </w:r>
      <w:r>
        <w:rPr>
          <w:b/>
          <w:bCs/>
        </w:rPr>
        <w:t xml:space="preserve"> — </w:t>
      </w:r>
      <w:r>
        <w:rPr>
          <w:i/>
          <w:iCs/>
        </w:rPr>
        <w:t xml:space="preserve">System context and system boundary</w:t>
      </w:r>
    </w:p>
    <w:p>
      <w:pPr>
        <w:pStyle w:val="Heading3"/>
      </w:pPr>
      <w:r>
        <w:t xml:space="preserve">1.3.2 System Functions</w:t>
      </w:r>
    </w:p>
    <w:p>
      <w:pPr>
        <w:spacing w:after="120"/>
      </w:pPr>
      <w:r>
        <w:t xml:space="preserve">The system functions are the nine functional areas of PRS §2.2 and §4, each realised by a group of system requirements in Section 3.1.</w:t>
      </w:r>
    </w:p>
    <w:p>
      <w:pPr>
        <w:keepNext/>
        <w:spacing w:after="60" w:before="120" w:line="240" w:lineRule="auto"/>
        <w:jc w:val="center"/>
      </w:pPr>
      <w:r>
        <w:drawing>
          <wp:inline distT="0" distB="0" distL="0" distR="0">
            <wp:extent cx="5924550" cy="5943600"/>
            <wp:effectExtent t="0" r="0" b="0" l="0"/>
            <wp:docPr id="1" name="System function decomposition and requirement groups" descr="System function decomposition and requirement groups" title="System function decomposition and requirement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24550" cy="594360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2</w:t>
      </w:r>
      <w:r>
        <w:fldChar w:fldCharType="end"/>
      </w:r>
      <w:r>
        <w:rPr>
          <w:b/>
          <w:bCs/>
        </w:rPr>
        <w:t xml:space="preserve"> — </w:t>
      </w:r>
      <w:r>
        <w:rPr>
          <w:i/>
          <w:iCs/>
        </w:rPr>
        <w:t xml:space="preserve">System function decomposition and requirement groups</w:t>
      </w:r>
    </w:p>
    <w:p>
      <w:pPr>
        <w:pStyle w:val="Heading3"/>
      </w:pPr>
      <w:r>
        <w:t xml:space="preserve">1.3.3 User Characteristics</w:t>
      </w:r>
    </w:p>
    <w:p>
      <w:pPr>
        <w:pStyle w:val="Caption"/>
        <w:keepNext/>
        <w:jc w:val="center"/>
      </w:pPr>
      <w:r>
        <w:rPr>
          <w:b/>
          <w:bCs/>
        </w:rPr>
        <w:t xml:space="preserve">Table </w:t>
      </w:r>
      <w:r>
        <w:fldChar w:fldCharType="begin"/>
      </w:r>
      <w:r>
        <w:instrText xml:space="preserve"> SEQ Table \* ARABIC </w:instrText>
      </w:r>
      <w:r>
        <w:fldChar w:fldCharType="separate"/>
      </w:r>
      <w:r>
        <w:rPr>
          <w:b/>
          <w:bCs/>
        </w:rPr>
        <w:t>1</w:t>
      </w:r>
      <w:r>
        <w:fldChar w:fldCharType="end"/>
      </w:r>
      <w:r>
        <w:rPr>
          <w:b/>
          <w:bCs/>
        </w:rPr>
        <w:t xml:space="preserve"> — </w:t>
      </w:r>
      <w:r>
        <w:rPr>
          <w:i/>
          <w:iCs/>
        </w:rPr>
        <w:t xml:space="preserve">User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3706"/>
        <w:gridCol w:w="2471"/>
        <w:gridCol w:w="2473"/>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7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Role (PRS §2.3)</w:t>
            </w:r>
          </w:p>
        </w:tc>
        <w:tc>
          <w:tcPr>
            <w:tcW w:type="dxa" w:w="247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Permissions</w:t>
            </w:r>
          </w:p>
        </w:tc>
        <w:tc>
          <w:tcPr>
            <w:tcW w:type="dxa" w:w="247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Decision authority</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UC-01</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Submitter / field operator</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47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UC-02</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Reviewer / underwriter</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47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UC-03</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Approver</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47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(OD-03)</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UC-04</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Risk or compliance auditor</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47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UC-05</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System administrator</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47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bl>
    <w:p>
      <w:pPr>
        <w:spacing w:after="120"/>
      </w:pPr>
    </w:p>
    <w:p>
      <w:pPr>
        <w:pStyle w:val="Heading2"/>
      </w:pPr>
      <w:r>
        <w:t xml:space="preserve">1.4 Definitions and Conventions</w:t>
      </w:r>
    </w:p>
    <w:p>
      <w:pPr>
        <w:pStyle w:val="Caption"/>
        <w:keepNext/>
        <w:jc w:val="center"/>
      </w:pPr>
      <w:r>
        <w:rPr>
          <w:b/>
          <w:bCs/>
        </w:rPr>
        <w:t xml:space="preserve">Table </w:t>
      </w:r>
      <w:r>
        <w:fldChar w:fldCharType="begin"/>
      </w:r>
      <w:r>
        <w:instrText xml:space="preserve"> SEQ Table \* ARABIC </w:instrText>
      </w:r>
      <w:r>
        <w:fldChar w:fldCharType="separate"/>
      </w:r>
      <w:r>
        <w:rPr>
          <w:b/>
          <w:bCs/>
        </w:rPr>
        <w:t>2</w:t>
      </w:r>
      <w:r>
        <w:fldChar w:fldCharType="end"/>
      </w:r>
      <w:r>
        <w:rPr>
          <w:b/>
          <w:bCs/>
        </w:rPr>
        <w:t xml:space="preserve"> — </w:t>
      </w:r>
      <w:r>
        <w:rPr>
          <w:i/>
          <w:iCs/>
        </w:rPr>
        <w:t xml:space="preserve">Definitions and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Term</w:t>
            </w:r>
          </w:p>
        </w:tc>
        <w:tc>
          <w:tcPr>
            <w:tcW w:type="dxa" w:w="76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Definition</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SYS-xx-nnn</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System requirement identifier assigned in this document (Derived). Group codes: IN intake, VA validation, DE decision, AU audit, AC access control, EX exceptions, SR search/export, IG integration, OB observability, US usability, PF performance, OP operations, SE security, IM information, PO policy, LS life cycle sustainment.</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shall</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Mandatory system requirement.</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Proposed verification method: T Test, A Analysis, I Inspection, D Demonstration (Derived; to be confirmed at Gate G2, AURA-PDLC-1.0).</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U-nn.n</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Design unit in AURA-LLD-1.0 that realises the requirement.</w:t>
            </w:r>
          </w:p>
        </w:tc>
      </w:tr>
    </w:tbl>
    <w:p>
      <w:pPr>
        <w:spacing w:after="120"/>
      </w:pPr>
    </w:p>
    <w:p>
      <w:pPr>
        <w:pStyle w:val="Heading1"/>
      </w:pPr>
      <w:r>
        <w:t xml:space="preserve">2 References</w:t>
      </w:r>
    </w:p>
    <w:p>
      <w:pPr>
        <w:pStyle w:val="Caption"/>
        <w:keepNext/>
        <w:jc w:val="center"/>
      </w:pPr>
      <w:r>
        <w:rPr>
          <w:b/>
          <w:bCs/>
        </w:rPr>
        <w:t xml:space="preserve">Table </w:t>
      </w:r>
      <w:r>
        <w:fldChar w:fldCharType="begin"/>
      </w:r>
      <w:r>
        <w:instrText xml:space="preserve"> SEQ Table \* ARABIC </w:instrText>
      </w:r>
      <w:r>
        <w:fldChar w:fldCharType="separate"/>
      </w:r>
      <w:r>
        <w:rPr>
          <w:b/>
          <w:bCs/>
        </w:rPr>
        <w:t>3</w:t>
      </w:r>
      <w:r>
        <w:fldChar w:fldCharType="end"/>
      </w:r>
      <w:r>
        <w:rPr>
          <w:b/>
          <w:bCs/>
        </w:rPr>
        <w:t xml:space="preserve"> — </w:t>
      </w:r>
      <w:r>
        <w:rPr>
          <w:i/>
          <w:iCs/>
        </w:rP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8650"/>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865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Document</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R1</w:t>
            </w:r>
          </w:p>
        </w:tc>
        <w:tc>
          <w:tcPr>
            <w:tcW w:type="dxa" w:w="8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AURA-MRS-1.0 — Market Requirements Specification</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R2</w:t>
            </w:r>
          </w:p>
        </w:tc>
        <w:tc>
          <w:tcPr>
            <w:tcW w:type="dxa" w:w="8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AURA-PRS-1.0 — Product Requirements Specification</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R3</w:t>
            </w:r>
          </w:p>
        </w:tc>
        <w:tc>
          <w:tcPr>
            <w:tcW w:type="dxa" w:w="8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AURA-HLD-1.0 — High-Level Design</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R4</w:t>
            </w:r>
          </w:p>
        </w:tc>
        <w:tc>
          <w:tcPr>
            <w:tcW w:type="dxa" w:w="8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AURA-LLD-1.0 — Low-Level Design</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R5</w:t>
            </w:r>
          </w:p>
        </w:tc>
        <w:tc>
          <w:tcPr>
            <w:tcW w:type="dxa" w:w="8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AURA-PDLC-1.0 — Product Development Life Cycle</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R6</w:t>
            </w:r>
          </w:p>
        </w:tc>
        <w:tc>
          <w:tcPr>
            <w:tcW w:type="dxa" w:w="8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29148:2018 — Requirements engineering</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R7</w:t>
            </w:r>
          </w:p>
        </w:tc>
        <w:tc>
          <w:tcPr>
            <w:tcW w:type="dxa" w:w="8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15288:2023 — System life cycle processes</w:t>
            </w:r>
          </w:p>
        </w:tc>
      </w:tr>
    </w:tbl>
    <w:p>
      <w:pPr>
        <w:spacing w:after="120"/>
      </w:pPr>
    </w:p>
    <w:p>
      <w:pPr>
        <w:pStyle w:val="Heading1"/>
      </w:pPr>
      <w:r>
        <w:t xml:space="preserve">3 System Requirements</w:t>
      </w:r>
    </w:p>
    <w:p>
      <w:pPr>
        <w:pStyle w:val="Heading2"/>
      </w:pPr>
      <w:r>
        <w:t xml:space="preserve">3.1 Functional Requirements</w:t>
      </w:r>
    </w:p>
    <w:p>
      <w:pPr>
        <w:pStyle w:val="Heading3"/>
      </w:pPr>
      <w:r>
        <w:t xml:space="preserve">3.1.1 Case and evidence intake</w:t>
      </w:r>
    </w:p>
    <w:p>
      <w:pPr>
        <w:pStyle w:val="Caption"/>
        <w:keepNext/>
        <w:jc w:val="center"/>
      </w:pPr>
      <w:r>
        <w:rPr>
          <w:b/>
          <w:bCs/>
        </w:rPr>
        <w:t xml:space="preserve">Table </w:t>
      </w:r>
      <w:r>
        <w:fldChar w:fldCharType="begin"/>
      </w:r>
      <w:r>
        <w:instrText xml:space="preserve"> SEQ Table \* ARABIC </w:instrText>
      </w:r>
      <w:r>
        <w:fldChar w:fldCharType="separate"/>
      </w:r>
      <w:r>
        <w:rPr>
          <w:b/>
          <w:bCs/>
        </w:rPr>
        <w:t>4</w:t>
      </w:r>
      <w:r>
        <w:fldChar w:fldCharType="end"/>
      </w:r>
      <w:r>
        <w:rPr>
          <w:b/>
          <w:bCs/>
        </w:rPr>
        <w:t xml:space="preserve"> — </w:t>
      </w:r>
      <w:r>
        <w:rPr>
          <w:i/>
          <w:iCs/>
        </w:rPr>
        <w:t xml:space="preserve">Case and evidence intake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SYS-IN-001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allow an authorized user to create a case.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SYS-IN-002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allow an authorized user to attach evidence of a supported type to a case, together with source metadata. Supported types: </w:t>
            </w:r>
            <w:r>
              <w:rPr>
                <w:b/>
                <w:bCs/>
                <w:color w:val="B7791F"/>
                <w:sz w:val="18"/>
                <w:szCs w:val="18"/>
              </w:rPr>
              <w:t xml:space="preserve">TBD</w:t>
            </w:r>
            <w:r>
              <w:rPr>
                <w:b w:val="false"/>
                <w:bCs w:val="false"/>
                <w:color w:val="222222"/>
                <w:sz w:val="18"/>
                <w:szCs w:val="18"/>
              </w:rPr>
              <w:t xml:space="preserve"> (OD-01).</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SYS-IN-003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record for each evidence item its timestamp, source, submitter, type and case association.</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PR-02; DG-01</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SYS-IN-004</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store evidence in protected object storage with access controls and record a storage reference on the evidence item.</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SC-03; HLD §5.2</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SYS-IN-005</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compute a checksum for each stored evidence item to detect unintended changes. Algorithm: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SC-03; AD-04</w:t>
            </w:r>
          </w:p>
        </w:tc>
      </w:tr>
    </w:tbl>
    <w:p>
      <w:pPr>
        <w:spacing w:after="120"/>
      </w:pPr>
    </w:p>
    <w:p>
      <w:pPr>
        <w:pStyle w:val="Heading3"/>
      </w:pPr>
      <w:r>
        <w:t xml:space="preserve">3.1.2 Validation</w:t>
      </w:r>
    </w:p>
    <w:p>
      <w:pPr>
        <w:pStyle w:val="Caption"/>
        <w:keepNext/>
        <w:jc w:val="center"/>
      </w:pPr>
      <w:r>
        <w:rPr>
          <w:b/>
          <w:bCs/>
        </w:rPr>
        <w:t xml:space="preserve">Table </w:t>
      </w:r>
      <w:r>
        <w:fldChar w:fldCharType="begin"/>
      </w:r>
      <w:r>
        <w:instrText xml:space="preserve"> SEQ Table \* ARABIC </w:instrText>
      </w:r>
      <w:r>
        <w:fldChar w:fldCharType="separate"/>
      </w:r>
      <w:r>
        <w:rPr>
          <w:b/>
          <w:bCs/>
        </w:rPr>
        <w:t>5</w:t>
      </w:r>
      <w:r>
        <w:fldChar w:fldCharType="end"/>
      </w:r>
      <w:r>
        <w:rPr>
          <w:b/>
          <w:bCs/>
        </w:rPr>
        <w:t xml:space="preserve"> — </w:t>
      </w:r>
      <w:r>
        <w:rPr>
          <w:i/>
          <w:iCs/>
        </w:rPr>
        <w:t xml:space="preserve">Validation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SYS-VA-001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check required fields and evidence against configurable rules. Rule content: </w:t>
            </w:r>
            <w:r>
              <w:rPr>
                <w:b/>
                <w:bCs/>
                <w:color w:val="B7791F"/>
                <w:sz w:val="18"/>
                <w:szCs w:val="18"/>
              </w:rPr>
              <w:t xml:space="preserve">TBD</w:t>
            </w:r>
            <w:r>
              <w:rPr>
                <w:b w:val="false"/>
                <w:bCs w:val="false"/>
                <w:color w:val="222222"/>
                <w:sz w:val="18"/>
                <w:szCs w:val="18"/>
              </w:rPr>
              <w:t xml:space="preserve"> (OD-02).</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PR-03</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SYS-VA-002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hold rules as versioned rule sets, each recording ruleset_id, version, effective date and owner.</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AP-04; NFR-06; HLD §5.2</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SYS-VA-003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hold for each evidence item a validation status with one of the values pending, valid, invalid or exception.</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PR-04</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SYS-VA-004</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display the validation status of each evidence item to authorized users.</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PR-04</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SYS-VA-005</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handle a rule-version change after case creation according to a defined rule. Rule: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EC-06</w:t>
            </w:r>
          </w:p>
        </w:tc>
      </w:tr>
    </w:tbl>
    <w:p>
      <w:pPr>
        <w:spacing w:after="120"/>
      </w:pPr>
    </w:p>
    <w:p>
      <w:pPr>
        <w:pStyle w:val="Heading3"/>
      </w:pPr>
      <w:r>
        <w:t xml:space="preserve">3.1.3 Decision</w:t>
      </w:r>
    </w:p>
    <w:p>
      <w:pPr>
        <w:pStyle w:val="Caption"/>
        <w:keepNext/>
        <w:jc w:val="center"/>
      </w:pPr>
      <w:r>
        <w:rPr>
          <w:b/>
          <w:bCs/>
        </w:rPr>
        <w:t xml:space="preserve">Table </w:t>
      </w:r>
      <w:r>
        <w:fldChar w:fldCharType="begin"/>
      </w:r>
      <w:r>
        <w:instrText xml:space="preserve"> SEQ Table \* ARABIC </w:instrText>
      </w:r>
      <w:r>
        <w:fldChar w:fldCharType="separate"/>
      </w:r>
      <w:r>
        <w:rPr>
          <w:b/>
          <w:bCs/>
        </w:rPr>
        <w:t>6</w:t>
      </w:r>
      <w:r>
        <w:fldChar w:fldCharType="end"/>
      </w:r>
      <w:r>
        <w:rPr>
          <w:b/>
          <w:bCs/>
        </w:rPr>
        <w:t xml:space="preserve"> — </w:t>
      </w:r>
      <w:r>
        <w:rPr>
          <w:i/>
          <w:iCs/>
        </w:rPr>
        <w:t xml:space="preserve">Decision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SYS-DE-001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store each decision with outcome, rationale, actor, timestamp, and referenced evidence and rule versions.</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 DG-02, DG-04, DG-05</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SYS-DE-002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associate each decision with exactly one case and with the rule set version applied.</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§5.2</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SYS-DE-003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handle an attempt to modify a finalized decision according to a defined rule. Rule: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EC-07</w:t>
            </w:r>
          </w:p>
        </w:tc>
      </w:tr>
    </w:tbl>
    <w:p>
      <w:pPr>
        <w:spacing w:after="120"/>
      </w:pPr>
    </w:p>
    <w:p>
      <w:pPr>
        <w:pStyle w:val="Heading3"/>
      </w:pPr>
      <w:r>
        <w:t xml:space="preserve">3.1.4 Audit</w:t>
      </w:r>
    </w:p>
    <w:p>
      <w:pPr>
        <w:pStyle w:val="Caption"/>
        <w:keepNext/>
        <w:jc w:val="center"/>
      </w:pPr>
      <w:r>
        <w:rPr>
          <w:b/>
          <w:bCs/>
        </w:rPr>
        <w:t xml:space="preserve">Table </w:t>
      </w:r>
      <w:r>
        <w:fldChar w:fldCharType="begin"/>
      </w:r>
      <w:r>
        <w:instrText xml:space="preserve"> SEQ Table \* ARABIC </w:instrText>
      </w:r>
      <w:r>
        <w:fldChar w:fldCharType="separate"/>
      </w:r>
      <w:r>
        <w:rPr>
          <w:b/>
          <w:bCs/>
        </w:rPr>
        <w:t>7</w:t>
      </w:r>
      <w:r>
        <w:fldChar w:fldCharType="end"/>
      </w:r>
      <w:r>
        <w:rPr>
          <w:b/>
          <w:bCs/>
        </w:rPr>
        <w:t xml:space="preserve"> — </w:t>
      </w:r>
      <w:r>
        <w:rPr>
          <w:i/>
          <w:iCs/>
        </w:rPr>
        <w:t xml:space="preserve">Audit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SYS-AU-001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record material changes as append-only events or equivalent tamper-evident history. Mechanism: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PR-06; AD-03</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SYS-AU-002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record for each audit event its event_id, actor, action, object reference, timestamp and correlation_id.</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§5.2</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SYS-AU-003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log access and material state transitions without exposing sensitive payloads in logs.</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 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SC-04</w:t>
            </w:r>
          </w:p>
        </w:tc>
      </w:tr>
    </w:tbl>
    <w:p>
      <w:pPr>
        <w:spacing w:after="120"/>
      </w:pPr>
    </w:p>
    <w:p>
      <w:pPr>
        <w:pStyle w:val="Heading3"/>
      </w:pPr>
      <w:r>
        <w:t xml:space="preserve">3.1.5 Access control</w:t>
      </w:r>
    </w:p>
    <w:p>
      <w:pPr>
        <w:pStyle w:val="Caption"/>
        <w:keepNext/>
        <w:jc w:val="center"/>
      </w:pPr>
      <w:r>
        <w:rPr>
          <w:b/>
          <w:bCs/>
        </w:rPr>
        <w:t xml:space="preserve">Table </w:t>
      </w:r>
      <w:r>
        <w:fldChar w:fldCharType="begin"/>
      </w:r>
      <w:r>
        <w:instrText xml:space="preserve"> SEQ Table \* ARABIC </w:instrText>
      </w:r>
      <w:r>
        <w:fldChar w:fldCharType="separate"/>
      </w:r>
      <w:r>
        <w:rPr>
          <w:b/>
          <w:bCs/>
        </w:rPr>
        <w:t>8</w:t>
      </w:r>
      <w:r>
        <w:fldChar w:fldCharType="end"/>
      </w:r>
      <w:r>
        <w:rPr>
          <w:b/>
          <w:bCs/>
        </w:rPr>
        <w:t xml:space="preserve"> — </w:t>
      </w:r>
      <w:r>
        <w:rPr>
          <w:i/>
          <w:iCs/>
        </w:rPr>
        <w:t xml:space="preserve">Access control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SYS-AC-001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restrict actions and records according to assigned permissions. Role–permission matrix: </w:t>
            </w:r>
            <w:r>
              <w:rPr>
                <w:b/>
                <w:bCs/>
                <w:color w:val="B7791F"/>
                <w:sz w:val="18"/>
                <w:szCs w:val="18"/>
              </w:rPr>
              <w:t xml:space="preserve">TBD</w:t>
            </w:r>
            <w:r>
              <w:rPr>
                <w:b w:val="false"/>
                <w:bCs w:val="false"/>
                <w:color w:val="222222"/>
                <w:sz w:val="18"/>
                <w:szCs w:val="18"/>
              </w:rPr>
              <w:t xml:space="preserve"> (OD-03).</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PR-07</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SYS-AC-002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enforce authentication at API boundaries. Identity provider: </w:t>
            </w:r>
            <w:r>
              <w:rPr>
                <w:b/>
                <w:bCs/>
                <w:color w:val="B7791F"/>
                <w:sz w:val="18"/>
                <w:szCs w:val="18"/>
              </w:rPr>
              <w:t xml:space="preserve">TBD</w:t>
            </w:r>
            <w:r>
              <w:rPr>
                <w:b w:val="false"/>
                <w:bCs w:val="false"/>
                <w:color w:val="222222"/>
                <w:sz w:val="18"/>
                <w:szCs w:val="18"/>
              </w:rPr>
              <w:t xml:space="preserve"> (PD-03).</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SC-01</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SYS-AC-003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enforce role and tenant authorization at API boundaries. Tenancy strategy: </w:t>
            </w:r>
            <w:r>
              <w:rPr>
                <w:b/>
                <w:bCs/>
                <w:color w:val="B7791F"/>
                <w:sz w:val="18"/>
                <w:szCs w:val="18"/>
              </w:rPr>
              <w:t xml:space="preserve">TBD</w:t>
            </w:r>
            <w:r>
              <w:rPr>
                <w:b w:val="false"/>
                <w:bCs w:val="false"/>
                <w:color w:val="222222"/>
                <w:sz w:val="18"/>
                <w:szCs w:val="18"/>
              </w:rPr>
              <w:t xml:space="preserve"> (PD-02).</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SC-01</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SYS-AC-004</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apply least privilege.</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NFR-01</w:t>
            </w:r>
          </w:p>
        </w:tc>
      </w:tr>
    </w:tbl>
    <w:p>
      <w:pPr>
        <w:spacing w:after="120"/>
      </w:pPr>
    </w:p>
    <w:p>
      <w:pPr>
        <w:pStyle w:val="Heading3"/>
      </w:pPr>
      <w:r>
        <w:t xml:space="preserve">3.1.6 Exception handling</w:t>
      </w:r>
    </w:p>
    <w:p>
      <w:pPr>
        <w:pStyle w:val="Caption"/>
        <w:keepNext/>
        <w:jc w:val="center"/>
      </w:pPr>
      <w:r>
        <w:rPr>
          <w:b/>
          <w:bCs/>
        </w:rPr>
        <w:t xml:space="preserve">Table </w:t>
      </w:r>
      <w:r>
        <w:fldChar w:fldCharType="begin"/>
      </w:r>
      <w:r>
        <w:instrText xml:space="preserve"> SEQ Table \* ARABIC </w:instrText>
      </w:r>
      <w:r>
        <w:fldChar w:fldCharType="separate"/>
      </w:r>
      <w:r>
        <w:rPr>
          <w:b/>
          <w:bCs/>
        </w:rPr>
        <w:t>9</w:t>
      </w:r>
      <w:r>
        <w:fldChar w:fldCharType="end"/>
      </w:r>
      <w:r>
        <w:rPr>
          <w:b/>
          <w:bCs/>
        </w:rPr>
        <w:t xml:space="preserve"> — </w:t>
      </w:r>
      <w:r>
        <w:rPr>
          <w:i/>
          <w:iCs/>
        </w:rPr>
        <w:t xml:space="preserve">Exception handling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SYS-EX-001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allow users to assign, comment on, resolve and escalate exceptions.</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PR-08; DG-03</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SYS-EX-002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record for each exception its case, category, severity, owner, status and resolution. Value domains: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§5.2</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SYS-EX-003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handle exception cases EC-01 to EC-07 according to defined behaviour. Behaviour: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§6</w:t>
            </w:r>
          </w:p>
        </w:tc>
      </w:tr>
    </w:tbl>
    <w:p>
      <w:pPr>
        <w:spacing w:after="120"/>
      </w:pPr>
    </w:p>
    <w:p>
      <w:pPr>
        <w:pStyle w:val="Heading3"/>
      </w:pPr>
      <w:r>
        <w:t xml:space="preserve">3.1.7 Search and export</w:t>
      </w:r>
    </w:p>
    <w:p>
      <w:pPr>
        <w:pStyle w:val="Caption"/>
        <w:keepNext/>
        <w:jc w:val="center"/>
      </w:pPr>
      <w:r>
        <w:rPr>
          <w:b/>
          <w:bCs/>
        </w:rPr>
        <w:t xml:space="preserve">Table </w:t>
      </w:r>
      <w:r>
        <w:fldChar w:fldCharType="begin"/>
      </w:r>
      <w:r>
        <w:instrText xml:space="preserve"> SEQ Table \* ARABIC </w:instrText>
      </w:r>
      <w:r>
        <w:fldChar w:fldCharType="separate"/>
      </w:r>
      <w:r>
        <w:rPr>
          <w:b/>
          <w:bCs/>
        </w:rPr>
        <w:t>10</w:t>
      </w:r>
      <w:r>
        <w:fldChar w:fldCharType="end"/>
      </w:r>
      <w:r>
        <w:rPr>
          <w:b/>
          <w:bCs/>
        </w:rPr>
        <w:t xml:space="preserve"> — </w:t>
      </w:r>
      <w:r>
        <w:rPr>
          <w:i/>
          <w:iCs/>
        </w:rPr>
        <w:t xml:space="preserve">Search and export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SYS-SR-001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allow authorized users to find cases by identifiers and supported metadata. Supported metadata: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PR-09</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SYS-SR-002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allow authorized users to export a case evidence manifest and decision history. Format: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PR-10</w:t>
            </w:r>
          </w:p>
        </w:tc>
      </w:tr>
    </w:tbl>
    <w:p>
      <w:pPr>
        <w:spacing w:after="120"/>
      </w:pPr>
    </w:p>
    <w:p>
      <w:pPr>
        <w:pStyle w:val="Heading3"/>
      </w:pPr>
      <w:r>
        <w:t xml:space="preserve">3.1.8 Integration</w:t>
      </w:r>
    </w:p>
    <w:p>
      <w:pPr>
        <w:pStyle w:val="Caption"/>
        <w:keepNext/>
        <w:jc w:val="center"/>
      </w:pPr>
      <w:r>
        <w:rPr>
          <w:b/>
          <w:bCs/>
        </w:rPr>
        <w:t xml:space="preserve">Table </w:t>
      </w:r>
      <w:r>
        <w:fldChar w:fldCharType="begin"/>
      </w:r>
      <w:r>
        <w:instrText xml:space="preserve"> SEQ Table \* ARABIC </w:instrText>
      </w:r>
      <w:r>
        <w:fldChar w:fldCharType="separate"/>
      </w:r>
      <w:r>
        <w:rPr>
          <w:b/>
          <w:bCs/>
        </w:rPr>
        <w:t>11</w:t>
      </w:r>
      <w:r>
        <w:fldChar w:fldCharType="end"/>
      </w:r>
      <w:r>
        <w:rPr>
          <w:b/>
          <w:bCs/>
        </w:rPr>
        <w:t xml:space="preserve"> — </w:t>
      </w:r>
      <w:r>
        <w:rPr>
          <w:i/>
          <w:iCs/>
        </w:rPr>
        <w:t xml:space="preserve">Integration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SYS-IG-001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connect to each external bank/system through a dedicated adapter interface.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AD-01; HLD §6.2</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SYS-IG-002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not commit an integration until its authentication, payload schema, timeout, retry policy, idempotency, error mapping and reconciliation are documented.</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PR-11; HLD §6.2</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SYS-IG-003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use idempotency keys and correlation IDs for retryable integrations.</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SC-06</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SYS-IG-004</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not treat a successful API response as proof that a downstream business action completed unless confirmed.</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AD-06</w:t>
            </w:r>
          </w:p>
        </w:tc>
      </w:tr>
    </w:tbl>
    <w:p>
      <w:pPr>
        <w:spacing w:after="120"/>
      </w:pPr>
    </w:p>
    <w:p>
      <w:pPr>
        <w:pStyle w:val="Heading3"/>
      </w:pPr>
      <w:r>
        <w:t xml:space="preserve">3.1.9 Observability</w:t>
      </w:r>
    </w:p>
    <w:p>
      <w:pPr>
        <w:pStyle w:val="Caption"/>
        <w:keepNext/>
        <w:jc w:val="center"/>
      </w:pPr>
      <w:r>
        <w:rPr>
          <w:b/>
          <w:bCs/>
        </w:rPr>
        <w:t xml:space="preserve">Table </w:t>
      </w:r>
      <w:r>
        <w:fldChar w:fldCharType="begin"/>
      </w:r>
      <w:r>
        <w:instrText xml:space="preserve"> SEQ Table \* ARABIC </w:instrText>
      </w:r>
      <w:r>
        <w:fldChar w:fldCharType="separate"/>
      </w:r>
      <w:r>
        <w:rPr>
          <w:b/>
          <w:bCs/>
        </w:rPr>
        <w:t>12</w:t>
      </w:r>
      <w:r>
        <w:fldChar w:fldCharType="end"/>
      </w:r>
      <w:r>
        <w:rPr>
          <w:b/>
          <w:bCs/>
        </w:rPr>
        <w:t xml:space="preserve"> — </w:t>
      </w:r>
      <w:r>
        <w:rPr>
          <w:i/>
          <w:iCs/>
        </w:rPr>
        <w:t xml:space="preserve">Observability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SYS-OB-001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expose structured logs, health checks and actionable error reporting.</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PR-12</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SYS-OB-002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provide health and readiness endpoints.</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OP-03</w:t>
            </w:r>
          </w:p>
        </w:tc>
      </w:tr>
    </w:tbl>
    <w:p>
      <w:pPr>
        <w:spacing w:after="120"/>
      </w:pPr>
    </w:p>
    <w:p>
      <w:pPr>
        <w:pStyle w:val="Heading2"/>
      </w:pPr>
      <w:r>
        <w:t xml:space="preserve">3.2 Usability Requirements</w:t>
      </w:r>
    </w:p>
    <w:p>
      <w:pPr>
        <w:pStyle w:val="Caption"/>
        <w:keepNext/>
        <w:jc w:val="center"/>
      </w:pPr>
      <w:r>
        <w:rPr>
          <w:b/>
          <w:bCs/>
        </w:rPr>
        <w:t xml:space="preserve">Table </w:t>
      </w:r>
      <w:r>
        <w:fldChar w:fldCharType="begin"/>
      </w:r>
      <w:r>
        <w:instrText xml:space="preserve"> SEQ Table \* ARABIC </w:instrText>
      </w:r>
      <w:r>
        <w:fldChar w:fldCharType="separate"/>
      </w:r>
      <w:r>
        <w:rPr>
          <w:b/>
          <w:bCs/>
        </w:rPr>
        <w:t>13</w:t>
      </w:r>
      <w:r>
        <w:fldChar w:fldCharType="end"/>
      </w:r>
      <w:r>
        <w:rPr>
          <w:b/>
          <w:bCs/>
        </w:rPr>
        <w:t xml:space="preserve"> — </w:t>
      </w:r>
      <w:r>
        <w:rPr>
          <w:i/>
          <w:iCs/>
        </w:rPr>
        <w:t xml:space="preserve">Usability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SYS-US-001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Core workflows shall be keyboard navigable. Conformance level: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NFR-05</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SYS-US-002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Core workflows shall use clear status text.</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NFR-05</w:t>
            </w:r>
          </w:p>
        </w:tc>
      </w:tr>
    </w:tbl>
    <w:p>
      <w:pPr>
        <w:spacing w:after="120"/>
      </w:pPr>
    </w:p>
    <w:p>
      <w:pPr>
        <w:pStyle w:val="Heading2"/>
      </w:pPr>
      <w:r>
        <w:t xml:space="preserve">3.3 Performance Requirements</w:t>
      </w:r>
    </w:p>
    <w:p>
      <w:pPr>
        <w:spacing w:after="120"/>
      </w:pPr>
      <w:r>
        <w:t xml:space="preserve">No performance values are stated in the baseline. Targets are to be established from pilot volume and user expectations (NFR-03).</w:t>
      </w:r>
    </w:p>
    <w:p>
      <w:pPr>
        <w:pStyle w:val="Caption"/>
        <w:keepNext/>
        <w:jc w:val="center"/>
      </w:pPr>
      <w:r>
        <w:rPr>
          <w:b/>
          <w:bCs/>
        </w:rPr>
        <w:t xml:space="preserve">Table </w:t>
      </w:r>
      <w:r>
        <w:fldChar w:fldCharType="begin"/>
      </w:r>
      <w:r>
        <w:instrText xml:space="preserve"> SEQ Table \* ARABIC </w:instrText>
      </w:r>
      <w:r>
        <w:fldChar w:fldCharType="separate"/>
      </w:r>
      <w:r>
        <w:rPr>
          <w:b/>
          <w:bCs/>
        </w:rPr>
        <w:t>14</w:t>
      </w:r>
      <w:r>
        <w:fldChar w:fldCharType="end"/>
      </w:r>
      <w:r>
        <w:rPr>
          <w:b/>
          <w:bCs/>
        </w:rPr>
        <w:t xml:space="preserve"> — </w:t>
      </w:r>
      <w:r>
        <w:rPr>
          <w:i/>
          <w:iCs/>
        </w:rPr>
        <w:t xml:space="preserve">Performance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SYS-PF-001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meet measurable performance targets established from pilot volume and user expectations. Targets: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NFR-03</w:t>
            </w:r>
          </w:p>
        </w:tc>
      </w:tr>
    </w:tbl>
    <w:p>
      <w:pPr>
        <w:spacing w:after="120"/>
      </w:pPr>
    </w:p>
    <w:p>
      <w:pPr>
        <w:pStyle w:val="Caption"/>
        <w:keepNext/>
        <w:jc w:val="center"/>
      </w:pPr>
      <w:r>
        <w:rPr>
          <w:b/>
          <w:bCs/>
        </w:rPr>
        <w:t xml:space="preserve">Table </w:t>
      </w:r>
      <w:r>
        <w:fldChar w:fldCharType="begin"/>
      </w:r>
      <w:r>
        <w:instrText xml:space="preserve"> SEQ Table \* ARABIC </w:instrText>
      </w:r>
      <w:r>
        <w:fldChar w:fldCharType="separate"/>
      </w:r>
      <w:r>
        <w:rPr>
          <w:b/>
          <w:bCs/>
        </w:rPr>
        <w:t>15</w:t>
      </w:r>
      <w:r>
        <w:fldChar w:fldCharType="end"/>
      </w:r>
      <w:r>
        <w:rPr>
          <w:b/>
          <w:bCs/>
        </w:rPr>
        <w:t xml:space="preserve"> — </w:t>
      </w:r>
      <w:r>
        <w:rPr>
          <w:i/>
          <w:iCs/>
        </w:rPr>
        <w:t xml:space="preserve">Performance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3856"/>
      </w:tblGrid>
      <w:tr>
        <w:trPr>
          <w:cantSplit/>
          <w:tblHeader/>
        </w:trPr>
        <w:tc>
          <w:tcPr>
            <w:tcW w:type="dxa" w:w="385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Parameter</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Value</w:t>
            </w:r>
          </w:p>
        </w:tc>
        <w:tc>
          <w:tcPr>
            <w:tcW w:type="dxa" w:w="385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Basis</w:t>
            </w:r>
          </w:p>
        </w:tc>
      </w:tr>
      <w:tr>
        <w:trPr>
          <w:cantSplit/>
        </w:trPr>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API read / write latency</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NFR-03</w:t>
            </w:r>
          </w:p>
        </w:tc>
      </w:tr>
      <w:tr>
        <w:trPr>
          <w:cantSplit/>
        </w:trPr>
        <w:tc>
          <w:tcPr>
            <w:tcW w:type="dxa" w:w="38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Concurrent users</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Pilot volume</w:t>
            </w:r>
          </w:p>
        </w:tc>
      </w:tr>
      <w:tr>
        <w:trPr>
          <w:cantSplit/>
        </w:trPr>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Evidence upload size and throughput</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OD-01</w:t>
            </w:r>
          </w:p>
        </w:tc>
      </w:tr>
      <w:tr>
        <w:trPr>
          <w:cantSplit/>
        </w:trPr>
        <w:tc>
          <w:tcPr>
            <w:tcW w:type="dxa" w:w="38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Search response time</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PR-09</w:t>
            </w:r>
          </w:p>
        </w:tc>
      </w:tr>
      <w:tr>
        <w:trPr>
          <w:cantSplit/>
        </w:trPr>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Export generation time</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PR-10</w:t>
            </w:r>
          </w:p>
        </w:tc>
      </w:tr>
    </w:tbl>
    <w:p>
      <w:pPr>
        <w:spacing w:after="120"/>
      </w:pPr>
    </w:p>
    <w:p>
      <w:pPr>
        <w:pStyle w:val="Heading2"/>
      </w:pPr>
      <w:r>
        <w:t xml:space="preserve">3.4 System Interfaces</w:t>
      </w:r>
    </w:p>
    <w:p>
      <w:pPr>
        <w:pStyle w:val="Caption"/>
        <w:keepNext/>
        <w:jc w:val="center"/>
      </w:pPr>
      <w:r>
        <w:rPr>
          <w:b/>
          <w:bCs/>
        </w:rPr>
        <w:t xml:space="preserve">Table </w:t>
      </w:r>
      <w:r>
        <w:fldChar w:fldCharType="begin"/>
      </w:r>
      <w:r>
        <w:instrText xml:space="preserve"> SEQ Table \* ARABIC </w:instrText>
      </w:r>
      <w:r>
        <w:fldChar w:fldCharType="separate"/>
      </w:r>
      <w:r>
        <w:rPr>
          <w:b/>
          <w:bCs/>
        </w:rPr>
        <w:t>16</w:t>
      </w:r>
      <w:r>
        <w:fldChar w:fldCharType="end"/>
      </w:r>
      <w:r>
        <w:rPr>
          <w:b/>
          <w:bCs/>
        </w:rPr>
        <w:t xml:space="preserve"> — </w:t>
      </w:r>
      <w:r>
        <w:rPr>
          <w:i/>
          <w:iCs/>
        </w:rPr>
        <w:t xml:space="preserve">System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132"/>
        <w:gridCol w:w="2650"/>
        <w:gridCol w:w="2893"/>
      </w:tblGrid>
      <w:tr>
        <w:trPr>
          <w:cantSplit/>
          <w:tblHeader/>
        </w:trPr>
        <w:tc>
          <w:tcPr>
            <w:tcW w:type="dxa" w:w="96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13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Interface</w:t>
            </w:r>
          </w:p>
        </w:tc>
        <w:tc>
          <w:tcPr>
            <w:tcW w:type="dxa" w:w="265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Protocol / format</w:t>
            </w:r>
          </w:p>
        </w:tc>
        <w:tc>
          <w:tcPr>
            <w:tcW w:type="dxa" w:w="289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IF-01</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 C-02 user requests</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TLS in transit (NFR-01)</w:t>
            </w:r>
          </w:p>
        </w:tc>
        <w:tc>
          <w:tcPr>
            <w:tcW w:type="dxa" w:w="28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SYS-AC-002, SYS-SE-002</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IF-02</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 C-03 … C-07</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versioned APIs</w:t>
            </w:r>
          </w:p>
        </w:tc>
        <w:tc>
          <w:tcPr>
            <w:tcW w:type="dxa" w:w="28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SYS-AC-001, SYS-LS-001</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IF-03</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 → C-09 object storage</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8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SYS-IN-004, SYS-IN-005</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IF-04</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C-03 … C-07 → C-09 relational store</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automated migrations</w:t>
            </w:r>
          </w:p>
        </w:tc>
        <w:tc>
          <w:tcPr>
            <w:tcW w:type="dxa" w:w="28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SYS-IM-001, SYS-OP-003</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IF-05</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 ↔ external bank systems</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per adapter</w:t>
            </w:r>
          </w:p>
        </w:tc>
        <w:tc>
          <w:tcPr>
            <w:tcW w:type="dxa" w:w="28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SYS-IG-001 – SYS-IG-004</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IF-06</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 identity provider</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(PD-03)</w:t>
            </w:r>
          </w:p>
        </w:tc>
        <w:tc>
          <w:tcPr>
            <w:tcW w:type="dxa" w:w="28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SYS-AC-002</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IF-07</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 components → C-10</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structured logs</w:t>
            </w:r>
          </w:p>
        </w:tc>
        <w:tc>
          <w:tcPr>
            <w:tcW w:type="dxa" w:w="28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SYS-OB-001, SYS-OB-002</w:t>
            </w:r>
          </w:p>
        </w:tc>
      </w:tr>
    </w:tbl>
    <w:p>
      <w:pPr>
        <w:spacing w:after="120"/>
      </w:pPr>
    </w:p>
    <w:p>
      <w:pPr>
        <w:pStyle w:val="Heading2"/>
      </w:pPr>
      <w:r>
        <w:t xml:space="preserve">3.5 System Operations</w:t>
      </w:r>
    </w:p>
    <w:p>
      <w:pPr>
        <w:pStyle w:val="Caption"/>
        <w:keepNext/>
        <w:jc w:val="center"/>
      </w:pPr>
      <w:r>
        <w:rPr>
          <w:b/>
          <w:bCs/>
        </w:rPr>
        <w:t xml:space="preserve">Table </w:t>
      </w:r>
      <w:r>
        <w:fldChar w:fldCharType="begin"/>
      </w:r>
      <w:r>
        <w:instrText xml:space="preserve"> SEQ Table \* ARABIC </w:instrText>
      </w:r>
      <w:r>
        <w:fldChar w:fldCharType="separate"/>
      </w:r>
      <w:r>
        <w:rPr>
          <w:b/>
          <w:bCs/>
        </w:rPr>
        <w:t>17</w:t>
      </w:r>
      <w:r>
        <w:fldChar w:fldCharType="end"/>
      </w:r>
      <w:r>
        <w:rPr>
          <w:b/>
          <w:bCs/>
        </w:rPr>
        <w:t xml:space="preserve"> — </w:t>
      </w:r>
      <w:r>
        <w:rPr>
          <w:i/>
          <w:iCs/>
        </w:rPr>
        <w:t xml:space="preserve">Operational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SYS-OP-001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meet service objectives defined after workload and hosting assumptions are agreed. Objectives (availability, capacity, RPO/RTO):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NFR-02; HLD §9.3</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SYS-OP-002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use environment-specific configuration.</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OP-01</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SYS-OP-003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apply database schema changes through automated migrations.</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OP-02</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SYS-OP-004</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be monitored.</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OP-05</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SYS-OP-005</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Backup and restore shall be tested. Frequency: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OP-06</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SYS-OP-006</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 documented rollback shall exist for each deployment.</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OP-07</w:t>
            </w:r>
          </w:p>
        </w:tc>
      </w:tr>
    </w:tbl>
    <w:p>
      <w:pPr>
        <w:spacing w:after="120"/>
      </w:pPr>
    </w:p>
    <w:p>
      <w:pPr>
        <w:pStyle w:val="Heading2"/>
      </w:pPr>
      <w:r>
        <w:t xml:space="preserve">3.6 System Modes and States</w:t>
      </w:r>
    </w:p>
    <w:p>
      <w:pPr>
        <w:spacing w:after="120"/>
      </w:pPr>
      <w:r>
        <w:t xml:space="preserve">System operating modes (for example maintenance or degraded modes) are not defined in the baseline and are </w:t>
      </w:r>
      <w:r>
        <w:rPr>
          <w:b/>
          <w:bCs/>
          <w:color w:val="B7791F"/>
        </w:rPr>
        <w:t xml:space="preserve">TBD</w:t>
      </w:r>
      <w:r>
        <w:t xml:space="preserve">. Object states stated or implied by the baseline are summarised below; transition rules are </w:t>
      </w:r>
      <w:r>
        <w:rPr>
          <w:b/>
          <w:bCs/>
          <w:color w:val="B7791F"/>
        </w:rPr>
        <w:t xml:space="preserve">TBD</w:t>
      </w:r>
      <w:r>
        <w:t xml:space="preserve">.</w:t>
      </w:r>
    </w:p>
    <w:p>
      <w:pPr>
        <w:keepNext/>
        <w:spacing w:after="60" w:before="120" w:line="240" w:lineRule="auto"/>
        <w:jc w:val="center"/>
      </w:pPr>
      <w:r>
        <w:drawing>
          <wp:inline distT="0" distB="0" distL="0" distR="0">
            <wp:extent cx="6076950" cy="3248025"/>
            <wp:effectExtent t="0" r="0" b="0" l="0"/>
            <wp:docPr id="1" name="Object states and system modes" descr="Object states and system modes" title="Object states and system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76950" cy="324802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3</w:t>
      </w:r>
      <w:r>
        <w:fldChar w:fldCharType="end"/>
      </w:r>
      <w:r>
        <w:rPr>
          <w:b/>
          <w:bCs/>
        </w:rPr>
        <w:t xml:space="preserve"> — </w:t>
      </w:r>
      <w:r>
        <w:rPr>
          <w:i/>
          <w:iCs/>
        </w:rPr>
        <w:t xml:space="preserve">Object states and system modes</w:t>
      </w:r>
    </w:p>
    <w:p>
      <w:pPr>
        <w:pStyle w:val="Caption"/>
        <w:keepNext/>
        <w:jc w:val="center"/>
      </w:pPr>
      <w:r>
        <w:rPr>
          <w:b/>
          <w:bCs/>
        </w:rPr>
        <w:t xml:space="preserve">Table </w:t>
      </w:r>
      <w:r>
        <w:fldChar w:fldCharType="begin"/>
      </w:r>
      <w:r>
        <w:instrText xml:space="preserve"> SEQ Table \* ARABIC </w:instrText>
      </w:r>
      <w:r>
        <w:fldChar w:fldCharType="separate"/>
      </w:r>
      <w:r>
        <w:rPr>
          <w:b/>
          <w:bCs/>
        </w:rPr>
        <w:t>18</w:t>
      </w:r>
      <w:r>
        <w:fldChar w:fldCharType="end"/>
      </w:r>
      <w:r>
        <w:rPr>
          <w:b/>
          <w:bCs/>
        </w:rPr>
        <w:t xml:space="preserve"> — </w:t>
      </w:r>
      <w:r>
        <w:rPr>
          <w:i/>
          <w:iCs/>
        </w:rPr>
        <w:t xml:space="preserve">Object state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3"/>
        <w:gridCol w:w="3907"/>
        <w:gridCol w:w="1693"/>
        <w:gridCol w:w="2085"/>
      </w:tblGrid>
      <w:tr>
        <w:trPr>
          <w:cantSplit/>
          <w:tblHeader/>
        </w:trPr>
        <w:tc>
          <w:tcPr>
            <w:tcW w:type="dxa" w:w="195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Object</w:t>
            </w:r>
          </w:p>
        </w:tc>
        <w:tc>
          <w:tcPr>
            <w:tcW w:type="dxa" w:w="390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States</w:t>
            </w:r>
          </w:p>
        </w:tc>
        <w:tc>
          <w:tcPr>
            <w:tcW w:type="dxa" w:w="169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Transitions</w:t>
            </w:r>
          </w:p>
        </w:tc>
        <w:tc>
          <w:tcPr>
            <w:tcW w:type="dxa" w:w="208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r>
      <w:tr>
        <w:trPr>
          <w:cantSplit/>
        </w:trPr>
        <w:tc>
          <w:tcPr>
            <w:tcW w:type="dxa" w:w="19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EvidenceItem</w:t>
            </w:r>
          </w:p>
        </w:tc>
        <w:tc>
          <w:tcPr>
            <w:tcW w:type="dxa" w:w="3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 valid, invalid, exception</w:t>
            </w:r>
          </w:p>
        </w:tc>
        <w:tc>
          <w:tcPr>
            <w:tcW w:type="dxa" w:w="16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0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PR-04</w:t>
            </w:r>
          </w:p>
        </w:tc>
      </w:tr>
      <w:tr>
        <w:trPr>
          <w:cantSplit/>
        </w:trPr>
        <w:tc>
          <w:tcPr>
            <w:tcW w:type="dxa" w:w="195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Decision</w:t>
            </w:r>
          </w:p>
        </w:tc>
        <w:tc>
          <w:tcPr>
            <w:tcW w:type="dxa" w:w="3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finalized (implied); other states </w:t>
            </w:r>
            <w:r>
              <w:rPr>
                <w:b/>
                <w:bCs/>
                <w:color w:val="B7791F"/>
                <w:sz w:val="18"/>
                <w:szCs w:val="18"/>
              </w:rPr>
              <w:t xml:space="preserve">TBD</w:t>
            </w:r>
          </w:p>
        </w:tc>
        <w:tc>
          <w:tcPr>
            <w:tcW w:type="dxa" w:w="16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0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EC-07</w:t>
            </w:r>
          </w:p>
        </w:tc>
      </w:tr>
      <w:tr>
        <w:trPr>
          <w:cantSplit/>
        </w:trPr>
        <w:tc>
          <w:tcPr>
            <w:tcW w:type="dxa" w:w="19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Case</w:t>
            </w:r>
          </w:p>
        </w:tc>
        <w:tc>
          <w:tcPr>
            <w:tcW w:type="dxa" w:w="3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(status attribute exists)</w:t>
            </w:r>
          </w:p>
        </w:tc>
        <w:tc>
          <w:tcPr>
            <w:tcW w:type="dxa" w:w="16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0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§5.2</w:t>
            </w:r>
          </w:p>
        </w:tc>
      </w:tr>
      <w:tr>
        <w:trPr>
          <w:cantSplit/>
        </w:trPr>
        <w:tc>
          <w:tcPr>
            <w:tcW w:type="dxa" w:w="195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Exception</w:t>
            </w:r>
          </w:p>
        </w:tc>
        <w:tc>
          <w:tcPr>
            <w:tcW w:type="dxa" w:w="3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(status attribute exists)</w:t>
            </w:r>
          </w:p>
        </w:tc>
        <w:tc>
          <w:tcPr>
            <w:tcW w:type="dxa" w:w="16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0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§5.2</w:t>
            </w:r>
          </w:p>
        </w:tc>
      </w:tr>
      <w:tr>
        <w:trPr>
          <w:cantSplit/>
        </w:trPr>
        <w:tc>
          <w:tcPr>
            <w:tcW w:type="dxa" w:w="19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System</w:t>
            </w:r>
          </w:p>
        </w:tc>
        <w:tc>
          <w:tcPr>
            <w:tcW w:type="dxa" w:w="3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6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0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baseline</w:t>
            </w:r>
          </w:p>
        </w:tc>
      </w:tr>
    </w:tbl>
    <w:p>
      <w:pPr>
        <w:spacing w:after="120"/>
      </w:pPr>
    </w:p>
    <w:p>
      <w:pPr>
        <w:pStyle w:val="Heading2"/>
      </w:pPr>
      <w:r>
        <w:t xml:space="preserve">3.7 Physical Characteristics</w:t>
      </w:r>
    </w:p>
    <w:p>
      <w:pPr>
        <w:spacing w:after="120"/>
      </w:pPr>
      <w:r>
        <w:t xml:space="preserve">No physical hardware is specified. The physical form of the deployment (cloud or on-premise) is pending decision PD-01; physical characteristics are </w:t>
      </w:r>
      <w:r>
        <w:rPr>
          <w:b/>
          <w:bCs/>
          <w:color w:val="B7791F"/>
        </w:rPr>
        <w:t xml:space="preserve">TBD</w:t>
      </w:r>
      <w:r>
        <w:t xml:space="preserve">.</w:t>
      </w:r>
    </w:p>
    <w:p>
      <w:pPr>
        <w:pStyle w:val="Heading2"/>
      </w:pPr>
      <w:r>
        <w:t xml:space="preserve">3.8 Environmental Conditions</w:t>
      </w:r>
    </w:p>
    <w:p>
      <w:pPr>
        <w:spacing w:after="120"/>
      </w:pPr>
      <w:r>
        <w:t xml:space="preserve">The system is accessed through a web client / operator console (C-01). Supported browsers, devices and the server runtime environment are </w:t>
      </w:r>
      <w:r>
        <w:rPr>
          <w:b/>
          <w:bCs/>
          <w:color w:val="B7791F"/>
        </w:rPr>
        <w:t xml:space="preserve">TBD</w:t>
      </w:r>
      <w:r>
        <w:t xml:space="preserve">.</w:t>
      </w:r>
    </w:p>
    <w:p>
      <w:pPr>
        <w:pStyle w:val="Heading2"/>
      </w:pPr>
      <w:r>
        <w:t xml:space="preserve">3.9 System Security</w:t>
      </w:r>
    </w:p>
    <w:p>
      <w:pPr>
        <w:pStyle w:val="Caption"/>
        <w:keepNext/>
        <w:jc w:val="center"/>
      </w:pPr>
      <w:r>
        <w:rPr>
          <w:b/>
          <w:bCs/>
        </w:rPr>
        <w:t xml:space="preserve">Table </w:t>
      </w:r>
      <w:r>
        <w:fldChar w:fldCharType="begin"/>
      </w:r>
      <w:r>
        <w:instrText xml:space="preserve"> SEQ Table \* ARABIC </w:instrText>
      </w:r>
      <w:r>
        <w:fldChar w:fldCharType="separate"/>
      </w:r>
      <w:r>
        <w:rPr>
          <w:b/>
          <w:bCs/>
        </w:rPr>
        <w:t>19</w:t>
      </w:r>
      <w:r>
        <w:fldChar w:fldCharType="end"/>
      </w:r>
      <w:r>
        <w:rPr>
          <w:b/>
          <w:bCs/>
        </w:rPr>
        <w:t xml:space="preserve"> — </w:t>
      </w:r>
      <w:r>
        <w:rPr>
          <w:i/>
          <w:iCs/>
        </w:rPr>
        <w:t xml:space="preserve">Security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SYS-SE-001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Secrets shall be kept outside source control and rotated through deployment controls.</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SC-02</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SYS-SE-002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Data shall be encrypted in transit and at rest where supported by the deployment. Key management: </w:t>
            </w:r>
            <w:r>
              <w:rPr>
                <w:b/>
                <w:bCs/>
                <w:color w:val="B7791F"/>
                <w:sz w:val="18"/>
                <w:szCs w:val="18"/>
              </w:rPr>
              <w:t xml:space="preserve">TBD</w:t>
            </w:r>
            <w:r>
              <w:rPr>
                <w:b w:val="false"/>
                <w:bCs w:val="false"/>
                <w:color w:val="222222"/>
                <w:sz w:val="18"/>
                <w:szCs w:val="18"/>
              </w:rPr>
              <w:t xml:space="preserve"> (PD-06).</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NFR-01; SC-07</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SYS-SE-003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Unauthorized access attempts shall be denied and logged. Response behaviour: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EC-05; SC-04</w:t>
            </w:r>
          </w:p>
        </w:tc>
      </w:tr>
    </w:tbl>
    <w:p>
      <w:pPr>
        <w:spacing w:after="120"/>
      </w:pPr>
    </w:p>
    <w:p>
      <w:pPr>
        <w:spacing w:after="120"/>
      </w:pPr>
      <w:r>
        <w:t xml:space="preserve">Related security requirements in Section 3.1: SYS-IN-004, SYS-IN-005, SYS-AU-001 – SYS-AU-003 and SYS-AC-001 – SYS-AC-004.</w:t>
      </w:r>
    </w:p>
    <w:p>
      <w:pPr>
        <w:pStyle w:val="Heading2"/>
      </w:pPr>
      <w:r>
        <w:t xml:space="preserve">3.10 Information Management</w:t>
      </w:r>
    </w:p>
    <w:p>
      <w:pPr>
        <w:pStyle w:val="Caption"/>
        <w:keepNext/>
        <w:jc w:val="center"/>
      </w:pPr>
      <w:r>
        <w:rPr>
          <w:b/>
          <w:bCs/>
        </w:rPr>
        <w:t xml:space="preserve">Table </w:t>
      </w:r>
      <w:r>
        <w:fldChar w:fldCharType="begin"/>
      </w:r>
      <w:r>
        <w:instrText xml:space="preserve"> SEQ Table \* ARABIC </w:instrText>
      </w:r>
      <w:r>
        <w:fldChar w:fldCharType="separate"/>
      </w:r>
      <w:r>
        <w:rPr>
          <w:b/>
          <w:bCs/>
        </w:rPr>
        <w:t>20</w:t>
      </w:r>
      <w:r>
        <w:fldChar w:fldCharType="end"/>
      </w:r>
      <w:r>
        <w:rPr>
          <w:b/>
          <w:bCs/>
        </w:rPr>
        <w:t xml:space="preserve"> — </w:t>
      </w:r>
      <w:r>
        <w:rPr>
          <w:i/>
          <w:iCs/>
        </w:rPr>
        <w:t xml:space="preserve">Information management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SYS-IM-001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maintain the entities Case, EvidenceItem, RuleSetVersion, Decision, AuditEvent and Exception with the attributes defined in HLD §5.2.</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§5.2</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SYS-IM-002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Retention, legal hold, deletion and backup policy shall be defined with stakeholders and applied. Values: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SC-05; NFR-04; OD-05</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SYS-IM-003</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Schema migrations shall be versioned.</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NFR-06</w:t>
            </w:r>
          </w:p>
        </w:tc>
      </w:tr>
    </w:tbl>
    <w:p>
      <w:pPr>
        <w:spacing w:after="120"/>
      </w:pPr>
    </w:p>
    <w:p>
      <w:pPr>
        <w:pBdr>
          <w:left w:val="single" w:color="B7791F" w:sz="18" w:space="8"/>
        </w:pBdr>
        <w:shd w:fill="FFF8EC" w:color="auto" w:val="clear"/>
        <w:spacing w:after="160" w:before="60"/>
        <w:ind w:left="200"/>
      </w:pPr>
      <w:r>
        <w:rPr>
          <w:i/>
          <w:iCs/>
          <w:color w:val="5B6B7C"/>
          <w:sz w:val="19"/>
          <w:szCs w:val="19"/>
        </w:rPr>
        <w:t xml:space="preserve">Data-model gaps DG-01 – DG-07 (HLD §5.3) affect SYS-IN-003, SYS-DE-001 and SYS-EX-001. They remain </w:t>
      </w:r>
      <w:r>
        <w:rPr>
          <w:b/>
          <w:bCs/>
          <w:i/>
          <w:iCs/>
          <w:color w:val="B7791F"/>
          <w:sz w:val="19"/>
          <w:szCs w:val="19"/>
        </w:rPr>
        <w:t xml:space="preserve">TBD</w:t>
      </w:r>
      <w:r>
        <w:rPr>
          <w:i/>
          <w:iCs/>
          <w:color w:val="5B6B7C"/>
          <w:sz w:val="19"/>
          <w:szCs w:val="19"/>
        </w:rPr>
        <w:t xml:space="preserve"> and are carried as open issues in Appendix B.</w:t>
      </w:r>
    </w:p>
    <w:p>
      <w:pPr>
        <w:pStyle w:val="Heading2"/>
      </w:pPr>
      <w:r>
        <w:t xml:space="preserve">3.11 Policies and Regulations</w:t>
      </w:r>
    </w:p>
    <w:p>
      <w:pPr>
        <w:pStyle w:val="Caption"/>
        <w:keepNext/>
        <w:jc w:val="center"/>
      </w:pPr>
      <w:r>
        <w:rPr>
          <w:b/>
          <w:bCs/>
        </w:rPr>
        <w:t xml:space="preserve">Table </w:t>
      </w:r>
      <w:r>
        <w:fldChar w:fldCharType="begin"/>
      </w:r>
      <w:r>
        <w:instrText xml:space="preserve"> SEQ Table \* ARABIC </w:instrText>
      </w:r>
      <w:r>
        <w:fldChar w:fldCharType="separate"/>
      </w:r>
      <w:r>
        <w:rPr>
          <w:b/>
          <w:bCs/>
        </w:rPr>
        <w:t>21</w:t>
      </w:r>
      <w:r>
        <w:fldChar w:fldCharType="end"/>
      </w:r>
      <w:r>
        <w:rPr>
          <w:b/>
          <w:bCs/>
        </w:rPr>
        <w:t xml:space="preserve"> — </w:t>
      </w:r>
      <w:r>
        <w:rPr>
          <w:i/>
          <w:iCs/>
        </w:rPr>
        <w:t xml:space="preserve">Policy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SYS-PO-001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system shall support retention, deletion, consent and data-residency rules resulting from jurisdictional review. Rules: </w:t>
            </w:r>
            <w:r>
              <w:rPr>
                <w:b/>
                <w:bCs/>
                <w:color w:val="B7791F"/>
                <w:sz w:val="18"/>
                <w:szCs w:val="18"/>
              </w:rPr>
              <w:t xml:space="preserve">TBD</w:t>
            </w:r>
            <w:r>
              <w:rPr>
                <w:b w:val="false"/>
                <w:bCs w:val="false"/>
                <w:color w:val="222222"/>
                <w:sz w:val="18"/>
                <w:szCs w:val="18"/>
              </w:rPr>
              <w:t xml:space="preserve">.</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NFR-04; OQ-01; OQ-04</w:t>
            </w:r>
          </w:p>
        </w:tc>
      </w:tr>
    </w:tbl>
    <w:p>
      <w:pPr>
        <w:spacing w:after="120"/>
      </w:pPr>
    </w:p>
    <w:p>
      <w:pPr>
        <w:spacing w:after="120"/>
      </w:pPr>
      <w:r>
        <w:t xml:space="preserve">Applicable jurisdictions are not stated (OQ-01). No compliance claim shall be made until the discovery gate is passed (CN-02, MRS §10).</w:t>
      </w:r>
    </w:p>
    <w:p>
      <w:pPr>
        <w:pStyle w:val="Heading2"/>
      </w:pPr>
      <w:r>
        <w:t xml:space="preserve">3.12 System Life Cycle Sustainment</w:t>
      </w:r>
    </w:p>
    <w:p>
      <w:pPr>
        <w:pStyle w:val="Caption"/>
        <w:keepNext/>
        <w:jc w:val="center"/>
      </w:pPr>
      <w:r>
        <w:rPr>
          <w:b/>
          <w:bCs/>
        </w:rPr>
        <w:t xml:space="preserve">Table </w:t>
      </w:r>
      <w:r>
        <w:fldChar w:fldCharType="begin"/>
      </w:r>
      <w:r>
        <w:instrText xml:space="preserve"> SEQ Table \* ARABIC </w:instrText>
      </w:r>
      <w:r>
        <w:fldChar w:fldCharType="separate"/>
      </w:r>
      <w:r>
        <w:rPr>
          <w:b/>
          <w:bCs/>
        </w:rPr>
        <w:t>22</w:t>
      </w:r>
      <w:r>
        <w:fldChar w:fldCharType="end"/>
      </w:r>
      <w:r>
        <w:rPr>
          <w:b/>
          <w:bCs/>
        </w:rPr>
        <w:t xml:space="preserve"> — </w:t>
      </w:r>
      <w:r>
        <w:rPr>
          <w:i/>
          <w:iCs/>
        </w:rPr>
        <w:t xml:space="preserve">Life cycle sustainment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5912"/>
        <w:gridCol w:w="709"/>
        <w:gridCol w:w="1658"/>
      </w:tblGrid>
      <w:tr>
        <w:trPr>
          <w:cantSplit/>
          <w:tblHeader/>
        </w:trPr>
        <w:tc>
          <w:tcPr>
            <w:tcW w:type="dxa" w:w="13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9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7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w:t>
            </w:r>
          </w:p>
        </w:tc>
        <w:tc>
          <w:tcPr>
            <w:tcW w:type="dxa" w:w="16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w:t>
            </w:r>
          </w:p>
        </w:tc>
      </w:tr>
      <w:tr>
        <w:trPr>
          <w:cantSplit/>
        </w:trPr>
        <w:tc>
          <w:tcPr>
            <w:tcW w:type="dxa" w:w="13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SYS-LS-001</w:t>
            </w:r>
          </w:p>
        </w:tc>
        <w:tc>
          <w:tcPr>
            <w:tcW w:type="dxa" w:w="59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APIs and rules shall be versioned.</w:t>
            </w:r>
          </w:p>
        </w:tc>
        <w:tc>
          <w:tcPr>
            <w:tcW w:type="dxa" w:w="7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NFR-06</w:t>
            </w:r>
          </w:p>
        </w:tc>
      </w:tr>
      <w:tr>
        <w:trPr>
          <w:cantSplit/>
        </w:trPr>
        <w:tc>
          <w:tcPr>
            <w:tcW w:type="dxa" w:w="13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SYS-LS-002</w:t>
            </w:r>
          </w:p>
        </w:tc>
        <w:tc>
          <w:tcPr>
            <w:tcW w:type="dxa" w:w="59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Critical paths shall be covered by tests.</w:t>
            </w:r>
          </w:p>
        </w:tc>
        <w:tc>
          <w:tcPr>
            <w:tcW w:type="dxa" w:w="7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w:t>
            </w:r>
          </w:p>
        </w:tc>
        <w:tc>
          <w:tcPr>
            <w:tcW w:type="dxa" w:w="16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NFR-06</w:t>
            </w:r>
          </w:p>
        </w:tc>
      </w:tr>
    </w:tbl>
    <w:p>
      <w:pPr>
        <w:spacing w:after="120"/>
      </w:pPr>
    </w:p>
    <w:p>
      <w:pPr>
        <w:spacing w:after="120"/>
      </w:pPr>
      <w:r>
        <w:t xml:space="preserve">Life cycle stages, gates and change control are defined in AURA-PDLC-1.0.</w:t>
      </w:r>
    </w:p>
    <w:p>
      <w:pPr>
        <w:pStyle w:val="Heading2"/>
      </w:pPr>
      <w:r>
        <w:t xml:space="preserve">3.13 Packaging and Delivery</w:t>
      </w:r>
    </w:p>
    <w:p>
      <w:pPr>
        <w:spacing w:after="120"/>
      </w:pPr>
      <w:r>
        <w:t xml:space="preserve">Delivery artefacts, packaging format and release contents are not defined in the baseline and are </w:t>
      </w:r>
      <w:r>
        <w:rPr>
          <w:b/>
          <w:bCs/>
          <w:color w:val="B7791F"/>
        </w:rPr>
        <w:t xml:space="preserve">TBD</w:t>
      </w:r>
      <w:r>
        <w:t xml:space="preserve"> (see AURA-PDLC-1.0 §6).</w:t>
      </w:r>
    </w:p>
    <w:p>
      <w:pPr>
        <w:pStyle w:val="Heading1"/>
      </w:pPr>
      <w:r>
        <w:t xml:space="preserve">4 Verification</w:t>
      </w:r>
    </w:p>
    <w:p>
      <w:pPr>
        <w:spacing w:after="120"/>
      </w:pPr>
      <w:r>
        <w:t xml:space="preserve">Verification methods are proposed (Derived) and are to be confirmed at Gate G2. Pass/fail thresholds follow the acceptance thresholds, which are an open decision (OD-07).</w:t>
      </w:r>
    </w:p>
    <w:p>
      <w:pPr>
        <w:pStyle w:val="Caption"/>
        <w:keepNext/>
        <w:jc w:val="center"/>
      </w:pPr>
      <w:r>
        <w:rPr>
          <w:b/>
          <w:bCs/>
        </w:rPr>
        <w:t xml:space="preserve">Table </w:t>
      </w:r>
      <w:r>
        <w:fldChar w:fldCharType="begin"/>
      </w:r>
      <w:r>
        <w:instrText xml:space="preserve"> SEQ Table \* ARABIC </w:instrText>
      </w:r>
      <w:r>
        <w:fldChar w:fldCharType="separate"/>
      </w:r>
      <w:r>
        <w:rPr>
          <w:b/>
          <w:bCs/>
        </w:rPr>
        <w:t>23</w:t>
      </w:r>
      <w:r>
        <w:fldChar w:fldCharType="end"/>
      </w:r>
      <w:r>
        <w:rPr>
          <w:b/>
          <w:bCs/>
        </w:rPr>
        <w:t xml:space="preserve"> — </w:t>
      </w:r>
      <w:r>
        <w:rPr>
          <w:i/>
          <w:iCs/>
        </w:rPr>
        <w:t xml:space="preserve">Verification summary by requirement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877"/>
        <w:gridCol w:w="4756"/>
        <w:gridCol w:w="1253"/>
      </w:tblGrid>
      <w:tr>
        <w:trPr>
          <w:cantSplit/>
          <w:tblHeader/>
        </w:trPr>
        <w:tc>
          <w:tcPr>
            <w:tcW w:type="dxa" w:w="175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Group</w:t>
            </w:r>
          </w:p>
        </w:tc>
        <w:tc>
          <w:tcPr>
            <w:tcW w:type="dxa" w:w="187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Primary method</w:t>
            </w:r>
          </w:p>
        </w:tc>
        <w:tc>
          <w:tcPr>
            <w:tcW w:type="dxa" w:w="475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Verification activity (derived)</w:t>
            </w:r>
          </w:p>
        </w:tc>
        <w:tc>
          <w:tcPr>
            <w:tcW w:type="dxa" w:w="125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Threshold</w:t>
            </w:r>
          </w:p>
        </w:tc>
      </w:tr>
      <w:tr>
        <w:trPr>
          <w:cantSplit/>
        </w:trPr>
        <w:tc>
          <w:tcPr>
            <w:tcW w:type="dxa" w:w="17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SYS-IN</w:t>
            </w:r>
          </w:p>
        </w:tc>
        <w:tc>
          <w:tcPr>
            <w:tcW w:type="dxa" w:w="18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47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 creation, evidence attachment, metadata completeness, checksum on store</w:t>
            </w:r>
          </w:p>
        </w:tc>
        <w:tc>
          <w:tcPr>
            <w:tcW w:type="dxa" w:w="12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SYS-VA</w:t>
            </w:r>
          </w:p>
        </w:tc>
        <w:tc>
          <w:tcPr>
            <w:tcW w:type="dxa" w:w="18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 Inspection</w:t>
            </w:r>
          </w:p>
        </w:tc>
        <w:tc>
          <w:tcPr>
            <w:tcW w:type="dxa" w:w="47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 evaluation against rule set versions; status values</w:t>
            </w:r>
          </w:p>
        </w:tc>
        <w:tc>
          <w:tcPr>
            <w:tcW w:type="dxa" w:w="125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SYS-DE</w:t>
            </w:r>
          </w:p>
        </w:tc>
        <w:tc>
          <w:tcPr>
            <w:tcW w:type="dxa" w:w="18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47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fields stored; association with case and rule version</w:t>
            </w:r>
          </w:p>
        </w:tc>
        <w:tc>
          <w:tcPr>
            <w:tcW w:type="dxa" w:w="12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SYS-AU</w:t>
            </w:r>
          </w:p>
        </w:tc>
        <w:tc>
          <w:tcPr>
            <w:tcW w:type="dxa" w:w="18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 Inspection</w:t>
            </w:r>
          </w:p>
        </w:tc>
        <w:tc>
          <w:tcPr>
            <w:tcW w:type="dxa" w:w="47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Append-only / tamper-evidence check; no sensitive payload in logs</w:t>
            </w:r>
          </w:p>
        </w:tc>
        <w:tc>
          <w:tcPr>
            <w:tcW w:type="dxa" w:w="125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SYS-AC, SYS-SE</w:t>
            </w:r>
          </w:p>
        </w:tc>
        <w:tc>
          <w:tcPr>
            <w:tcW w:type="dxa" w:w="18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 Inspection</w:t>
            </w:r>
          </w:p>
        </w:tc>
        <w:tc>
          <w:tcPr>
            <w:tcW w:type="dxa" w:w="47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Permission-restricted actions; denied and logged unauthorized attempts</w:t>
            </w:r>
          </w:p>
        </w:tc>
        <w:tc>
          <w:tcPr>
            <w:tcW w:type="dxa" w:w="12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SYS-EX</w:t>
            </w:r>
          </w:p>
        </w:tc>
        <w:tc>
          <w:tcPr>
            <w:tcW w:type="dxa" w:w="18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47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Assign, comment, resolve, escalate exceptions</w:t>
            </w:r>
          </w:p>
        </w:tc>
        <w:tc>
          <w:tcPr>
            <w:tcW w:type="dxa" w:w="125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SYS-SR</w:t>
            </w:r>
          </w:p>
        </w:tc>
        <w:tc>
          <w:tcPr>
            <w:tcW w:type="dxa" w:w="18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47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Search by identifiers/metadata; export contents</w:t>
            </w:r>
          </w:p>
        </w:tc>
        <w:tc>
          <w:tcPr>
            <w:tcW w:type="dxa" w:w="12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SYS-IG</w:t>
            </w:r>
          </w:p>
        </w:tc>
        <w:tc>
          <w:tcPr>
            <w:tcW w:type="dxa" w:w="18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 Test</w:t>
            </w:r>
          </w:p>
        </w:tc>
        <w:tc>
          <w:tcPr>
            <w:tcW w:type="dxa" w:w="47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Adapter contract documented; idempotent retry; confirmation before completion</w:t>
            </w:r>
          </w:p>
        </w:tc>
        <w:tc>
          <w:tcPr>
            <w:tcW w:type="dxa" w:w="125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SYS-OB, SYS-OP</w:t>
            </w:r>
          </w:p>
        </w:tc>
        <w:tc>
          <w:tcPr>
            <w:tcW w:type="dxa" w:w="18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 Demonstration</w:t>
            </w:r>
          </w:p>
        </w:tc>
        <w:tc>
          <w:tcPr>
            <w:tcW w:type="dxa" w:w="47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Health/readiness; backup/restore test; rollback documented</w:t>
            </w:r>
          </w:p>
        </w:tc>
        <w:tc>
          <w:tcPr>
            <w:tcW w:type="dxa" w:w="12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SYS-US</w:t>
            </w:r>
          </w:p>
        </w:tc>
        <w:tc>
          <w:tcPr>
            <w:tcW w:type="dxa" w:w="18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Demonstration</w:t>
            </w:r>
          </w:p>
        </w:tc>
        <w:tc>
          <w:tcPr>
            <w:tcW w:type="dxa" w:w="47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Keyboard navigation; status text</w:t>
            </w:r>
          </w:p>
        </w:tc>
        <w:tc>
          <w:tcPr>
            <w:tcW w:type="dxa" w:w="125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SYS-PF</w:t>
            </w:r>
          </w:p>
        </w:tc>
        <w:tc>
          <w:tcPr>
            <w:tcW w:type="dxa" w:w="18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47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Load tests against targets</w:t>
            </w:r>
          </w:p>
        </w:tc>
        <w:tc>
          <w:tcPr>
            <w:tcW w:type="dxa" w:w="125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4.1 Requirement Verification Matrix</w:t>
      </w:r>
    </w:p>
    <w:p>
      <w:pPr>
        <w:pStyle w:val="Caption"/>
        <w:keepNext/>
        <w:jc w:val="center"/>
      </w:pPr>
      <w:r>
        <w:rPr>
          <w:b/>
          <w:bCs/>
        </w:rPr>
        <w:t xml:space="preserve">Table </w:t>
      </w:r>
      <w:r>
        <w:fldChar w:fldCharType="begin"/>
      </w:r>
      <w:r>
        <w:instrText xml:space="preserve"> SEQ Table \* ARABIC </w:instrText>
      </w:r>
      <w:r>
        <w:fldChar w:fldCharType="separate"/>
      </w:r>
      <w:r>
        <w:rPr>
          <w:b/>
          <w:bCs/>
        </w:rPr>
        <w:t>24</w:t>
      </w:r>
      <w:r>
        <w:fldChar w:fldCharType="end"/>
      </w:r>
      <w:r>
        <w:rPr>
          <w:b/>
          <w:bCs/>
        </w:rPr>
        <w:t xml:space="preserve"> — </w:t>
      </w:r>
      <w:r>
        <w:rPr>
          <w:i/>
          <w:iCs/>
        </w:rPr>
        <w:t xml:space="preserve">Requirement verification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7"/>
        <w:gridCol w:w="2002"/>
        <w:gridCol w:w="3004"/>
        <w:gridCol w:w="3005"/>
      </w:tblGrid>
      <w:tr>
        <w:trPr>
          <w:cantSplit/>
          <w:tblHeader/>
        </w:trPr>
        <w:tc>
          <w:tcPr>
            <w:tcW w:type="dxa" w:w="16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00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Method</w:t>
            </w:r>
          </w:p>
        </w:tc>
        <w:tc>
          <w:tcPr>
            <w:tcW w:type="dxa" w:w="300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HLD component</w:t>
            </w:r>
          </w:p>
        </w:tc>
        <w:tc>
          <w:tcPr>
            <w:tcW w:type="dxa" w:w="300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LLD unit</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SYS-IN-001</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C-03</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U-03.1</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SYS-IN-002</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U-04.1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SYS-IN-003</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U-04.2</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SYS-IN-004</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 C-09</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U-04.1, U-09.2</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SYS-IN-005</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U-04.3</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SYS-VA-001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U-05.2</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SYS-VA-002</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U-05.1</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SYS-VA-003</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 C-04</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U-05.3</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SYS-VA-004</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Demonstration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U-01.2</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SYS-VA-005</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U-05.1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SYS-DE-001</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C-06</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U-06.1</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SYS-DE-002</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C-06</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U-06.1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SYS-DE-003</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C-06</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U-06.2</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SYS-AU-001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C-07</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U-07.1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SYS-AU-002</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C-07</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U-07.1</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SYS-AU-003</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 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C-07, C-10</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U-07.1, U-10.1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SYS-AC-001</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U-02.2</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SYS-AC-002</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U-02.1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SYS-AC-003</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U-02.2</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SYS-AC-004</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U-02.2</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SYS-EX-001</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owner </w:t>
            </w:r>
            <w:r>
              <w:rPr>
                <w:b/>
                <w:bCs/>
                <w:color w:val="B7791F"/>
                <w:sz w:val="18"/>
                <w:szCs w:val="18"/>
              </w:rPr>
              <w:t xml:space="preserve">TBC</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U-01.3</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SYS-EX-002</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TBC</w:t>
            </w:r>
            <w:r>
              <w:rPr>
                <w:b w:val="false"/>
                <w:bCs w:val="false"/>
                <w:color w:val="222222"/>
                <w:sz w:val="18"/>
                <w:szCs w:val="18"/>
              </w:rPr>
              <w:t xml:space="preserve"> (C-03 candidate)</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SYS-EX-003</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LLD §7</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LLD §7</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SYS-SR-001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TBC</w:t>
            </w:r>
            <w:r>
              <w:rPr>
                <w:b w:val="false"/>
                <w:bCs w:val="false"/>
                <w:color w:val="222222"/>
                <w:sz w:val="18"/>
                <w:szCs w:val="18"/>
              </w:rPr>
              <w:t xml:space="preserve"> (C-03 candidate)</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U-03.2</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SYS-SR-002</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TBC</w:t>
            </w:r>
            <w:r>
              <w:rPr>
                <w:b w:val="false"/>
                <w:bCs w:val="false"/>
                <w:color w:val="222222"/>
                <w:sz w:val="18"/>
                <w:szCs w:val="18"/>
              </w:rPr>
              <w:t xml:space="preserve"> (C-07 candidate)</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U-07.2</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SYS-IG-001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U-08.1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SYS-IG-002</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U-08.1</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SYS-IG-003</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U-08.2</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SYS-IG-004</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U-08.3</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SYS-OB-001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C-10</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U-10.1, U-10.2</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SYS-OB-002</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C-10</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U-10.2</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SYS-US-001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Demonstration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U-01.1 … U-01.3</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SYS-US-002</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U-01.2</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SYS-PF-001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SYS-OP-001</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Analysis</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C-10</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U-10.3</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SYS-OP-002</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SYS-OP-003</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C-09</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U-09.1</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SYS-OP-004</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C-10</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U-10.1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SYS-OP-005</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Demonstration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C-10</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U-10.3</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SYS-OP-006</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C-10</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SYS-SE-001</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SYS-SE-002</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C-09</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U-09.1, U-09.2</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SYS-SE-003</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C-07</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U-02.2, U-07.1</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SYS-IM-001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C-09</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U-09.1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SYS-IM-002</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C-09, C-10</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SYS-IM-003</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C-09</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U-09.1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SYS-PO-001</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C-09</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6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SYS-LS-001</w:t>
            </w:r>
          </w:p>
        </w:tc>
        <w:tc>
          <w:tcPr>
            <w:tcW w:type="dxa" w:w="20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C-05</w:t>
            </w:r>
          </w:p>
        </w:tc>
        <w:tc>
          <w:tcPr>
            <w:tcW w:type="dxa" w:w="300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U-05.1</w:t>
            </w:r>
          </w:p>
        </w:tc>
      </w:tr>
      <w:tr>
        <w:trPr>
          <w:cantSplit/>
        </w:trPr>
        <w:tc>
          <w:tcPr>
            <w:tcW w:type="dxa" w:w="16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SYS-LS-002</w:t>
            </w:r>
          </w:p>
        </w:tc>
        <w:tc>
          <w:tcPr>
            <w:tcW w:type="dxa" w:w="20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Inspection</w:t>
            </w:r>
          </w:p>
        </w:tc>
        <w:tc>
          <w:tcPr>
            <w:tcW w:type="dxa" w:w="30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w:t>
            </w:r>
          </w:p>
        </w:tc>
        <w:tc>
          <w:tcPr>
            <w:tcW w:type="dxa" w:w="300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LLD §9</w:t>
            </w:r>
          </w:p>
        </w:tc>
      </w:tr>
    </w:tbl>
    <w:p>
      <w:pPr>
        <w:spacing w:after="120"/>
      </w:pPr>
    </w:p>
    <w:p>
      <w:pPr>
        <w:pStyle w:val="Heading1"/>
      </w:pPr>
      <w:r>
        <w:t xml:space="preserve">5 Traceability</w:t>
      </w:r>
    </w:p>
    <w:p>
      <w:pPr>
        <w:keepNext/>
        <w:spacing w:after="60" w:before="120" w:line="240" w:lineRule="auto"/>
        <w:jc w:val="center"/>
      </w:pPr>
      <w:r>
        <w:drawing>
          <wp:inline distT="0" distB="0" distL="0" distR="0">
            <wp:extent cx="6076950" cy="1990725"/>
            <wp:effectExtent t="0" r="0" b="0" l="0"/>
            <wp:docPr id="1" name="Traceability chain across the Aura specification set" descr="Traceability chain across the Aura specification set" title="Traceability chain across the Aura specific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199072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4</w:t>
      </w:r>
      <w:r>
        <w:fldChar w:fldCharType="end"/>
      </w:r>
      <w:r>
        <w:rPr>
          <w:b/>
          <w:bCs/>
        </w:rPr>
        <w:t xml:space="preserve"> — </w:t>
      </w:r>
      <w:r>
        <w:rPr>
          <w:i/>
          <w:iCs/>
        </w:rPr>
        <w:t xml:space="preserve">Traceability chain across the Aura specification set</w:t>
      </w:r>
    </w:p>
    <w:p>
      <w:pPr>
        <w:pStyle w:val="Heading2"/>
      </w:pPr>
      <w:r>
        <w:t xml:space="preserve">5.1 Product Requirement → System Requirement</w:t>
      </w:r>
    </w:p>
    <w:p>
      <w:pPr>
        <w:pStyle w:val="Caption"/>
        <w:keepNext/>
        <w:jc w:val="center"/>
      </w:pPr>
      <w:r>
        <w:rPr>
          <w:b/>
          <w:bCs/>
        </w:rPr>
        <w:t xml:space="preserve">Table </w:t>
      </w:r>
      <w:r>
        <w:fldChar w:fldCharType="begin"/>
      </w:r>
      <w:r>
        <w:instrText xml:space="preserve"> SEQ Table \* ARABIC </w:instrText>
      </w:r>
      <w:r>
        <w:fldChar w:fldCharType="separate"/>
      </w:r>
      <w:r>
        <w:rPr>
          <w:b/>
          <w:bCs/>
        </w:rPr>
        <w:t>25</w:t>
      </w:r>
      <w:r>
        <w:fldChar w:fldCharType="end"/>
      </w:r>
      <w:r>
        <w:rPr>
          <w:b/>
          <w:bCs/>
        </w:rPr>
        <w:t xml:space="preserve"> — </w:t>
      </w:r>
      <w:r>
        <w:rPr>
          <w:i/>
          <w:iCs/>
        </w:rPr>
        <w:t xml:space="preserve">PR → SYS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650"/>
        <w:gridCol w:w="1445"/>
        <w:gridCol w:w="4580"/>
      </w:tblGrid>
      <w:tr>
        <w:trPr>
          <w:cantSplit/>
          <w:tblHeader/>
        </w:trPr>
        <w:tc>
          <w:tcPr>
            <w:tcW w:type="dxa" w:w="96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w:t>
            </w:r>
          </w:p>
        </w:tc>
        <w:tc>
          <w:tcPr>
            <w:tcW w:type="dxa" w:w="265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Product requirement</w:t>
            </w:r>
          </w:p>
        </w:tc>
        <w:tc>
          <w:tcPr>
            <w:tcW w:type="dxa" w:w="144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MR</w:t>
            </w:r>
          </w:p>
        </w:tc>
        <w:tc>
          <w:tcPr>
            <w:tcW w:type="dxa" w:w="458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System requirements</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PR-01</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intake</w:t>
            </w:r>
          </w:p>
        </w:tc>
        <w:tc>
          <w:tcPr>
            <w:tcW w:type="dxa" w:w="144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w:t>
            </w:r>
          </w:p>
        </w:tc>
        <w:tc>
          <w:tcPr>
            <w:tcW w:type="dxa" w:w="458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SYS-IN-001, SYS-IN-002, SYS-IN-004</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PR-02</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Metadata capture</w:t>
            </w:r>
          </w:p>
        </w:tc>
        <w:tc>
          <w:tcPr>
            <w:tcW w:type="dxa" w:w="144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w:t>
            </w:r>
          </w:p>
        </w:tc>
        <w:tc>
          <w:tcPr>
            <w:tcW w:type="dxa" w:w="458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SYS-IN-003</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PR-03</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Completeness checks</w:t>
            </w:r>
          </w:p>
        </w:tc>
        <w:tc>
          <w:tcPr>
            <w:tcW w:type="dxa" w:w="144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MR-02</w:t>
            </w:r>
          </w:p>
        </w:tc>
        <w:tc>
          <w:tcPr>
            <w:tcW w:type="dxa" w:w="458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SYS-VA-001, SYS-VA-002</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PR-04</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Validation status</w:t>
            </w:r>
          </w:p>
        </w:tc>
        <w:tc>
          <w:tcPr>
            <w:tcW w:type="dxa" w:w="144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MR-02</w:t>
            </w:r>
          </w:p>
        </w:tc>
        <w:tc>
          <w:tcPr>
            <w:tcW w:type="dxa" w:w="458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SYS-VA-003, SYS-VA-004</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PR-05</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record</w:t>
            </w:r>
          </w:p>
        </w:tc>
        <w:tc>
          <w:tcPr>
            <w:tcW w:type="dxa" w:w="144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MR-03</w:t>
            </w:r>
          </w:p>
        </w:tc>
        <w:tc>
          <w:tcPr>
            <w:tcW w:type="dxa" w:w="458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SYS-DE-001, SYS-DE-002</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PR-06</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 history</w:t>
            </w:r>
          </w:p>
        </w:tc>
        <w:tc>
          <w:tcPr>
            <w:tcW w:type="dxa" w:w="144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MR-04</w:t>
            </w:r>
          </w:p>
        </w:tc>
        <w:tc>
          <w:tcPr>
            <w:tcW w:type="dxa" w:w="458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SYS-AU-001, SYS-AU-002</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PR-07</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Role-based access</w:t>
            </w:r>
          </w:p>
        </w:tc>
        <w:tc>
          <w:tcPr>
            <w:tcW w:type="dxa" w:w="144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MR-05</w:t>
            </w:r>
          </w:p>
        </w:tc>
        <w:tc>
          <w:tcPr>
            <w:tcW w:type="dxa" w:w="458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SYS-AC-001 – SYS-AC-003</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PR-08</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 handling</w:t>
            </w:r>
          </w:p>
        </w:tc>
        <w:tc>
          <w:tcPr>
            <w:tcW w:type="dxa" w:w="144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MR-05</w:t>
            </w:r>
          </w:p>
        </w:tc>
        <w:tc>
          <w:tcPr>
            <w:tcW w:type="dxa" w:w="458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SYS-EX-001, SYS-EX-002</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PR-09</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Search and retrieval</w:t>
            </w:r>
          </w:p>
        </w:tc>
        <w:tc>
          <w:tcPr>
            <w:tcW w:type="dxa" w:w="144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MR-04</w:t>
            </w:r>
          </w:p>
        </w:tc>
        <w:tc>
          <w:tcPr>
            <w:tcW w:type="dxa" w:w="458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SYS-SR-001</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PR-10</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Export</w:t>
            </w:r>
          </w:p>
        </w:tc>
        <w:tc>
          <w:tcPr>
            <w:tcW w:type="dxa" w:w="144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MR-04</w:t>
            </w:r>
          </w:p>
        </w:tc>
        <w:tc>
          <w:tcPr>
            <w:tcW w:type="dxa" w:w="458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SYS-SR-002</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PR-11</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boundary</w:t>
            </w:r>
          </w:p>
        </w:tc>
        <w:tc>
          <w:tcPr>
            <w:tcW w:type="dxa" w:w="144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OQ-05</w:t>
            </w:r>
          </w:p>
        </w:tc>
        <w:tc>
          <w:tcPr>
            <w:tcW w:type="dxa" w:w="458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SYS-IG-001 – SYS-IG-004</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PR-12</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Operational observability</w:t>
            </w:r>
          </w:p>
        </w:tc>
        <w:tc>
          <w:tcPr>
            <w:tcW w:type="dxa" w:w="144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OQ-06 (</w:t>
            </w:r>
            <w:r>
              <w:rPr>
                <w:b/>
                <w:bCs/>
                <w:color w:val="B7791F"/>
                <w:sz w:val="18"/>
                <w:szCs w:val="18"/>
              </w:rPr>
              <w:t xml:space="preserve">TBC</w:t>
            </w:r>
            <w:r>
              <w:rPr>
                <w:b w:val="false"/>
                <w:bCs w:val="false"/>
                <w:color w:val="222222"/>
                <w:sz w:val="18"/>
                <w:szCs w:val="18"/>
              </w:rPr>
              <w:t xml:space="preserve">)</w:t>
            </w:r>
          </w:p>
        </w:tc>
        <w:tc>
          <w:tcPr>
            <w:tcW w:type="dxa" w:w="458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SYS-OB-001, SYS-OB-002</w:t>
            </w:r>
          </w:p>
        </w:tc>
      </w:tr>
    </w:tbl>
    <w:p>
      <w:pPr>
        <w:spacing w:after="120"/>
      </w:pPr>
    </w:p>
    <w:p>
      <w:pPr>
        <w:pStyle w:val="Heading2"/>
      </w:pPr>
      <w:r>
        <w:t xml:space="preserve">5.2 Non-Functional Requirement and Exception Case → System Requirement</w:t>
      </w:r>
    </w:p>
    <w:p>
      <w:pPr>
        <w:pStyle w:val="Caption"/>
        <w:keepNext/>
        <w:jc w:val="center"/>
      </w:pPr>
      <w:r>
        <w:rPr>
          <w:b/>
          <w:bCs/>
        </w:rPr>
        <w:t xml:space="preserve">Table </w:t>
      </w:r>
      <w:r>
        <w:fldChar w:fldCharType="begin"/>
      </w:r>
      <w:r>
        <w:instrText xml:space="preserve"> SEQ Table \* ARABIC </w:instrText>
      </w:r>
      <w:r>
        <w:fldChar w:fldCharType="separate"/>
      </w:r>
      <w:r>
        <w:rPr>
          <w:b/>
          <w:bCs/>
        </w:rPr>
        <w:t>26</w:t>
      </w:r>
      <w:r>
        <w:fldChar w:fldCharType="end"/>
      </w:r>
      <w:r>
        <w:rPr>
          <w:b/>
          <w:bCs/>
        </w:rPr>
        <w:t xml:space="preserve"> — </w:t>
      </w:r>
      <w:r>
        <w:rPr>
          <w:i/>
          <w:iCs/>
        </w:rPr>
        <w:t xml:space="preserve">NFR / EC → SYS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3614"/>
        <w:gridCol w:w="4820"/>
      </w:tblGrid>
      <w:tr>
        <w:trPr>
          <w:cantSplit/>
          <w:tblHeader/>
        </w:trPr>
        <w:tc>
          <w:tcPr>
            <w:tcW w:type="dxa" w:w="120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c>
          <w:tcPr>
            <w:tcW w:type="dxa" w:w="361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Subject</w:t>
            </w:r>
          </w:p>
        </w:tc>
        <w:tc>
          <w:tcPr>
            <w:tcW w:type="dxa" w:w="482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System requirements</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NFR-01</w:t>
            </w:r>
          </w:p>
        </w:tc>
        <w:tc>
          <w:tcPr>
            <w:tcW w:type="dxa" w:w="36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Security</w:t>
            </w:r>
          </w:p>
        </w:tc>
        <w:tc>
          <w:tcPr>
            <w:tcW w:type="dxa" w:w="48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SYS-AC-004, SYS-SE-001, SYS-SE-002</w:t>
            </w: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NFR-02</w:t>
            </w:r>
          </w:p>
        </w:tc>
        <w:tc>
          <w:tcPr>
            <w:tcW w:type="dxa" w:w="36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Reliability</w:t>
            </w:r>
          </w:p>
        </w:tc>
        <w:tc>
          <w:tcPr>
            <w:tcW w:type="dxa" w:w="48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SYS-OP-001</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NFR-03</w:t>
            </w:r>
          </w:p>
        </w:tc>
        <w:tc>
          <w:tcPr>
            <w:tcW w:type="dxa" w:w="36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Performance</w:t>
            </w:r>
          </w:p>
        </w:tc>
        <w:tc>
          <w:tcPr>
            <w:tcW w:type="dxa" w:w="48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SYS-PF-001</w:t>
            </w: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NFR-04</w:t>
            </w:r>
          </w:p>
        </w:tc>
        <w:tc>
          <w:tcPr>
            <w:tcW w:type="dxa" w:w="36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Privacy</w:t>
            </w:r>
          </w:p>
        </w:tc>
        <w:tc>
          <w:tcPr>
            <w:tcW w:type="dxa" w:w="48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SYS-IM-002, SYS-PO-001</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NFR-05</w:t>
            </w:r>
          </w:p>
        </w:tc>
        <w:tc>
          <w:tcPr>
            <w:tcW w:type="dxa" w:w="36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Accessibility</w:t>
            </w:r>
          </w:p>
        </w:tc>
        <w:tc>
          <w:tcPr>
            <w:tcW w:type="dxa" w:w="48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SYS-US-001, SYS-US-002</w:t>
            </w: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NFR-06</w:t>
            </w:r>
          </w:p>
        </w:tc>
        <w:tc>
          <w:tcPr>
            <w:tcW w:type="dxa" w:w="36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Maintainability</w:t>
            </w:r>
          </w:p>
        </w:tc>
        <w:tc>
          <w:tcPr>
            <w:tcW w:type="dxa" w:w="48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SYS-VA-002, SYS-IM-003, SYS-LS-001, SYS-LS-002</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EC-01</w:t>
            </w:r>
          </w:p>
        </w:tc>
        <w:tc>
          <w:tcPr>
            <w:tcW w:type="dxa" w:w="36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Missing or unreadable evidence</w:t>
            </w:r>
          </w:p>
        </w:tc>
        <w:tc>
          <w:tcPr>
            <w:tcW w:type="dxa" w:w="48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SYS-VA-001, SYS-EX-003</w:t>
            </w: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EC-02</w:t>
            </w:r>
          </w:p>
        </w:tc>
        <w:tc>
          <w:tcPr>
            <w:tcW w:type="dxa" w:w="36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Duplicate or stale uploads</w:t>
            </w:r>
          </w:p>
        </w:tc>
        <w:tc>
          <w:tcPr>
            <w:tcW w:type="dxa" w:w="48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SYS-IN-005 (</w:t>
            </w:r>
            <w:r>
              <w:rPr>
                <w:b/>
                <w:bCs/>
                <w:color w:val="B7791F"/>
                <w:sz w:val="18"/>
                <w:szCs w:val="18"/>
              </w:rPr>
              <w:t xml:space="preserve">TBC</w:t>
            </w:r>
            <w:r>
              <w:rPr>
                <w:b w:val="false"/>
                <w:bCs w:val="false"/>
                <w:color w:val="222222"/>
                <w:sz w:val="18"/>
                <w:szCs w:val="18"/>
              </w:rPr>
              <w:t xml:space="preserve">), SYS-EX-003</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EC-03</w:t>
            </w:r>
          </w:p>
        </w:tc>
        <w:tc>
          <w:tcPr>
            <w:tcW w:type="dxa" w:w="36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Conflicting evidence values</w:t>
            </w:r>
          </w:p>
        </w:tc>
        <w:tc>
          <w:tcPr>
            <w:tcW w:type="dxa" w:w="48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SYS-VA-003, SYS-EX-003</w:t>
            </w: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EC-04</w:t>
            </w:r>
          </w:p>
        </w:tc>
        <w:tc>
          <w:tcPr>
            <w:tcW w:type="dxa" w:w="36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timeout or partial response</w:t>
            </w:r>
          </w:p>
        </w:tc>
        <w:tc>
          <w:tcPr>
            <w:tcW w:type="dxa" w:w="48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SYS-IG-003, SYS-IG-004</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EC-05</w:t>
            </w:r>
          </w:p>
        </w:tc>
        <w:tc>
          <w:tcPr>
            <w:tcW w:type="dxa" w:w="36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Unauthorized access attempt</w:t>
            </w:r>
          </w:p>
        </w:tc>
        <w:tc>
          <w:tcPr>
            <w:tcW w:type="dxa" w:w="48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SYS-SE-003, SYS-AU-003</w:t>
            </w: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EC-06</w:t>
            </w:r>
          </w:p>
        </w:tc>
        <w:tc>
          <w:tcPr>
            <w:tcW w:type="dxa" w:w="36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 version changed after case creation</w:t>
            </w:r>
          </w:p>
        </w:tc>
        <w:tc>
          <w:tcPr>
            <w:tcW w:type="dxa" w:w="48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SYS-VA-005</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EC-07</w:t>
            </w:r>
          </w:p>
        </w:tc>
        <w:tc>
          <w:tcPr>
            <w:tcW w:type="dxa" w:w="36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Modify a finalized decision</w:t>
            </w:r>
          </w:p>
        </w:tc>
        <w:tc>
          <w:tcPr>
            <w:tcW w:type="dxa" w:w="48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SYS-DE-003</w:t>
            </w:r>
          </w:p>
        </w:tc>
      </w:tr>
    </w:tbl>
    <w:p>
      <w:pPr>
        <w:spacing w:after="120"/>
      </w:pPr>
    </w:p>
    <w:p>
      <w:pPr>
        <w:pStyle w:val="Heading2"/>
      </w:pPr>
      <w:r>
        <w:t xml:space="preserve">5.3 HLD Control → System Requirement</w:t>
      </w:r>
    </w:p>
    <w:p>
      <w:pPr>
        <w:pStyle w:val="Caption"/>
        <w:keepNext/>
        <w:jc w:val="center"/>
      </w:pPr>
      <w:r>
        <w:rPr>
          <w:b/>
          <w:bCs/>
        </w:rPr>
        <w:t xml:space="preserve">Table </w:t>
      </w:r>
      <w:r>
        <w:fldChar w:fldCharType="begin"/>
      </w:r>
      <w:r>
        <w:instrText xml:space="preserve"> SEQ Table \* ARABIC </w:instrText>
      </w:r>
      <w:r>
        <w:fldChar w:fldCharType="separate"/>
      </w:r>
      <w:r>
        <w:rPr>
          <w:b/>
          <w:bCs/>
        </w:rPr>
        <w:t>27</w:t>
      </w:r>
      <w:r>
        <w:fldChar w:fldCharType="end"/>
      </w:r>
      <w:r>
        <w:rPr>
          <w:b/>
          <w:bCs/>
        </w:rPr>
        <w:t xml:space="preserve"> — </w:t>
      </w:r>
      <w:r>
        <w:rPr>
          <w:i/>
          <w:iCs/>
        </w:rPr>
        <w:t xml:space="preserve">HLD control → SYS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4096"/>
        <w:gridCol w:w="3856"/>
      </w:tblGrid>
      <w:tr>
        <w:trPr>
          <w:cantSplit/>
          <w:tblHeader/>
        </w:trPr>
        <w:tc>
          <w:tcPr>
            <w:tcW w:type="dxa" w:w="168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HLD item</w:t>
            </w:r>
          </w:p>
        </w:tc>
        <w:tc>
          <w:tcPr>
            <w:tcW w:type="dxa" w:w="409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Description</w:t>
            </w:r>
          </w:p>
        </w:tc>
        <w:tc>
          <w:tcPr>
            <w:tcW w:type="dxa" w:w="385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System requirements</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SC-01</w:t>
            </w:r>
          </w:p>
        </w:tc>
        <w:tc>
          <w:tcPr>
            <w:tcW w:type="dxa" w:w="40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Authentication and role/tenant authorization</w:t>
            </w:r>
          </w:p>
        </w:tc>
        <w:tc>
          <w:tcPr>
            <w:tcW w:type="dxa" w:w="3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SYS-AC-002, SYS-AC-003</w:t>
            </w:r>
          </w:p>
        </w:tc>
      </w:tr>
      <w:tr>
        <w:trPr>
          <w:cantSplit/>
        </w:trPr>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SC-02</w:t>
            </w:r>
          </w:p>
        </w:tc>
        <w:tc>
          <w:tcPr>
            <w:tcW w:type="dxa" w:w="409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Secrets outside source control</w:t>
            </w:r>
          </w:p>
        </w:tc>
        <w:tc>
          <w:tcPr>
            <w:tcW w:type="dxa" w:w="3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SYS-SE-001</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SC-03</w:t>
            </w:r>
          </w:p>
        </w:tc>
        <w:tc>
          <w:tcPr>
            <w:tcW w:type="dxa" w:w="40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Access-controlled storage; checksums</w:t>
            </w:r>
          </w:p>
        </w:tc>
        <w:tc>
          <w:tcPr>
            <w:tcW w:type="dxa" w:w="3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SYS-IN-004, SYS-IN-005</w:t>
            </w:r>
          </w:p>
        </w:tc>
      </w:tr>
      <w:tr>
        <w:trPr>
          <w:cantSplit/>
        </w:trPr>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SC-04</w:t>
            </w:r>
          </w:p>
        </w:tc>
        <w:tc>
          <w:tcPr>
            <w:tcW w:type="dxa" w:w="409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 and transition logging</w:t>
            </w:r>
          </w:p>
        </w:tc>
        <w:tc>
          <w:tcPr>
            <w:tcW w:type="dxa" w:w="3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SYS-AU-003, SYS-SE-003</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SC-05</w:t>
            </w:r>
          </w:p>
        </w:tc>
        <w:tc>
          <w:tcPr>
            <w:tcW w:type="dxa" w:w="40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Retention, legal hold, deletion, backup policy</w:t>
            </w:r>
          </w:p>
        </w:tc>
        <w:tc>
          <w:tcPr>
            <w:tcW w:type="dxa" w:w="3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SYS-IM-002</w:t>
            </w:r>
          </w:p>
        </w:tc>
      </w:tr>
      <w:tr>
        <w:trPr>
          <w:cantSplit/>
        </w:trPr>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SC-06</w:t>
            </w:r>
          </w:p>
        </w:tc>
        <w:tc>
          <w:tcPr>
            <w:tcW w:type="dxa" w:w="409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Idempotency keys and correlation IDs</w:t>
            </w:r>
          </w:p>
        </w:tc>
        <w:tc>
          <w:tcPr>
            <w:tcW w:type="dxa" w:w="3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SYS-IG-003</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SC-07</w:t>
            </w:r>
          </w:p>
        </w:tc>
        <w:tc>
          <w:tcPr>
            <w:tcW w:type="dxa" w:w="40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Encryption in transit and at rest</w:t>
            </w:r>
          </w:p>
        </w:tc>
        <w:tc>
          <w:tcPr>
            <w:tcW w:type="dxa" w:w="3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SYS-SE-002</w:t>
            </w:r>
          </w:p>
        </w:tc>
      </w:tr>
      <w:tr>
        <w:trPr>
          <w:cantSplit/>
        </w:trPr>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OP-01 – OP-07</w:t>
            </w:r>
          </w:p>
        </w:tc>
        <w:tc>
          <w:tcPr>
            <w:tcW w:type="dxa" w:w="409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Reliability and deployment practices</w:t>
            </w:r>
          </w:p>
        </w:tc>
        <w:tc>
          <w:tcPr>
            <w:tcW w:type="dxa" w:w="3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SYS-OP-002 – SYS-OP-006, SYS-OB-002</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AD-06</w:t>
            </w:r>
          </w:p>
        </w:tc>
        <w:tc>
          <w:tcPr>
            <w:tcW w:type="dxa" w:w="40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Response is not business completion</w:t>
            </w:r>
          </w:p>
        </w:tc>
        <w:tc>
          <w:tcPr>
            <w:tcW w:type="dxa" w:w="3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SYS-IG-004</w:t>
            </w:r>
          </w:p>
        </w:tc>
      </w:tr>
    </w:tbl>
    <w:p>
      <w:pPr>
        <w:spacing w:after="120"/>
      </w:pPr>
    </w:p>
    <w:p>
      <w:pPr>
        <w:pStyle w:val="Heading1"/>
      </w:pPr>
      <w:r>
        <w:t xml:space="preserve">Appendix A — Assumptions and Dependencies</w:t>
      </w:r>
    </w:p>
    <w:p>
      <w:pPr>
        <w:pStyle w:val="ListParagraph"/>
        <w:numPr>
          <w:ilvl w:val="0"/>
          <w:numId w:val="2"/>
        </w:numPr>
        <w:spacing w:after="60"/>
      </w:pPr>
      <w:r>
        <w:t xml:space="preserve">Commercial scope is not frozen until the discovery gate (GC-01 – GC-04) is passed; system requirements may change as a result (MRS §10).</w:t>
      </w:r>
    </w:p>
    <w:p>
      <w:pPr>
        <w:pStyle w:val="ListParagraph"/>
        <w:numPr>
          <w:ilvl w:val="0"/>
          <w:numId w:val="2"/>
        </w:numPr>
        <w:spacing w:after="60"/>
      </w:pPr>
      <w:r>
        <w:t xml:space="preserve">Integrations depend on resolution of OQ-05 / OD-04 and documented adapter contracts (SYS-IG-002).</w:t>
      </w:r>
    </w:p>
    <w:p>
      <w:pPr>
        <w:pStyle w:val="ListParagraph"/>
        <w:numPr>
          <w:ilvl w:val="0"/>
          <w:numId w:val="2"/>
        </w:numPr>
        <w:spacing w:after="60"/>
      </w:pPr>
      <w:r>
        <w:t xml:space="preserve">Physical, environmental and performance requirements depend on the pending architecture decisions PD-01 – PD-07.</w:t>
      </w:r>
    </w:p>
    <w:p>
      <w:pPr>
        <w:pStyle w:val="ListParagraph"/>
        <w:numPr>
          <w:ilvl w:val="0"/>
          <w:numId w:val="2"/>
        </w:numPr>
        <w:spacing w:after="60"/>
      </w:pPr>
      <w:r>
        <w:t xml:space="preserve">Acceptance thresholds for every requirement depend on OD-07.</w:t>
      </w:r>
    </w:p>
    <w:p>
      <w:pPr>
        <w:pStyle w:val="Heading1"/>
      </w:pPr>
      <w:r>
        <w:t xml:space="preserve">Appendix B — Open Issues</w:t>
      </w:r>
    </w:p>
    <w:p>
      <w:pPr>
        <w:pStyle w:val="Caption"/>
        <w:keepNext/>
        <w:jc w:val="center"/>
      </w:pPr>
      <w:r>
        <w:rPr>
          <w:b/>
          <w:bCs/>
        </w:rPr>
        <w:t xml:space="preserve">Table </w:t>
      </w:r>
      <w:r>
        <w:fldChar w:fldCharType="begin"/>
      </w:r>
      <w:r>
        <w:instrText xml:space="preserve"> SEQ Table \* ARABIC </w:instrText>
      </w:r>
      <w:r>
        <w:fldChar w:fldCharType="separate"/>
      </w:r>
      <w:r>
        <w:rPr>
          <w:b/>
          <w:bCs/>
        </w:rPr>
        <w:t>28</w:t>
      </w:r>
      <w:r>
        <w:fldChar w:fldCharType="end"/>
      </w:r>
      <w:r>
        <w:rPr>
          <w:b/>
          <w:bCs/>
        </w:rPr>
        <w:t xml:space="preserve"> — </w:t>
      </w:r>
      <w:r>
        <w:rPr>
          <w:i/>
          <w:iCs/>
        </w:rPr>
        <w:t xml:space="preserve">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2650"/>
        <w:gridCol w:w="2170"/>
      </w:tblGrid>
      <w:tr>
        <w:trPr>
          <w:cantSplit/>
          <w:tblHeader/>
        </w:trPr>
        <w:tc>
          <w:tcPr>
            <w:tcW w:type="dxa" w:w="96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85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Issue</w:t>
            </w:r>
          </w:p>
        </w:tc>
        <w:tc>
          <w:tcPr>
            <w:tcW w:type="dxa" w:w="265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Affects</w:t>
            </w:r>
          </w:p>
        </w:tc>
        <w:tc>
          <w:tcPr>
            <w:tcW w:type="dxa" w:w="217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OI-01</w:t>
            </w:r>
          </w:p>
        </w:tc>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Supported evidence types</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SYS-IN-002</w:t>
            </w:r>
          </w:p>
        </w:tc>
        <w:tc>
          <w:tcPr>
            <w:tcW w:type="dxa" w:w="21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OD-01</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OI-02</w:t>
            </w:r>
          </w:p>
        </w:tc>
        <w:tc>
          <w:tcPr>
            <w:tcW w:type="dxa" w:w="38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Policy rule content and required fields</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SYS-VA-001</w:t>
            </w:r>
          </w:p>
        </w:tc>
        <w:tc>
          <w:tcPr>
            <w:tcW w:type="dxa" w:w="21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OD-02</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OI-03</w:t>
            </w:r>
          </w:p>
        </w:tc>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authority and role–permission matrix</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SYS-AC-001, SYS-DE-001</w:t>
            </w:r>
          </w:p>
        </w:tc>
        <w:tc>
          <w:tcPr>
            <w:tcW w:type="dxa" w:w="21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OD-03</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OI-04</w:t>
            </w:r>
          </w:p>
        </w:tc>
        <w:tc>
          <w:tcPr>
            <w:tcW w:type="dxa" w:w="38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External integration systems</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SYS-IG-001 – 004</w:t>
            </w:r>
          </w:p>
        </w:tc>
        <w:tc>
          <w:tcPr>
            <w:tcW w:type="dxa" w:w="21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OD-04</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OI-05</w:t>
            </w:r>
          </w:p>
        </w:tc>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Retention policy and jurisdiction</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SYS-IM-002, SYS-PO-001</w:t>
            </w:r>
          </w:p>
        </w:tc>
        <w:tc>
          <w:tcPr>
            <w:tcW w:type="dxa" w:w="21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OD-05, OQ-01, OQ-04</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OI-06</w:t>
            </w:r>
          </w:p>
        </w:tc>
        <w:tc>
          <w:tcPr>
            <w:tcW w:type="dxa" w:w="38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Deployment, tenancy, identity, storage, eventing, keys, DR</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§3.4 – §3.8</w:t>
            </w:r>
          </w:p>
        </w:tc>
        <w:tc>
          <w:tcPr>
            <w:tcW w:type="dxa" w:w="21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PD-01 – PD-07</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OI-07</w:t>
            </w:r>
          </w:p>
        </w:tc>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Acceptance thresholds</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w:t>
            </w:r>
          </w:p>
        </w:tc>
        <w:tc>
          <w:tcPr>
            <w:tcW w:type="dxa" w:w="21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OD-07</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OI-08</w:t>
            </w:r>
          </w:p>
        </w:tc>
        <w:tc>
          <w:tcPr>
            <w:tcW w:type="dxa" w:w="38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Data-model gaps</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SYS-IN-003, SYS-DE-001, SYS-EX-001</w:t>
            </w:r>
          </w:p>
        </w:tc>
        <w:tc>
          <w:tcPr>
            <w:tcW w:type="dxa" w:w="21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DG-01 – DG-07</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OI-09</w:t>
            </w:r>
          </w:p>
        </w:tc>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Expected behaviour for EC-01 – EC-07</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SYS-EX-003, SYS-VA-005, SYS-DE-003</w:t>
            </w:r>
          </w:p>
        </w:tc>
        <w:tc>
          <w:tcPr>
            <w:tcW w:type="dxa" w:w="21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§6</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OI-10</w:t>
            </w:r>
          </w:p>
        </w:tc>
        <w:tc>
          <w:tcPr>
            <w:tcW w:type="dxa" w:w="38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System modes; state transition rules</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§3.6</w:t>
            </w:r>
          </w:p>
        </w:tc>
        <w:tc>
          <w:tcPr>
            <w:tcW w:type="dxa" w:w="21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baseline</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OI-11</w:t>
            </w:r>
          </w:p>
        </w:tc>
        <w:tc>
          <w:tcPr>
            <w:tcW w:type="dxa" w:w="38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Document owner, classification and approvers</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Document control</w:t>
            </w:r>
          </w:p>
        </w:tc>
        <w:tc>
          <w:tcPr>
            <w:tcW w:type="dxa" w:w="21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baseline</w:t>
            </w:r>
          </w:p>
        </w:tc>
      </w:tr>
    </w:tbl>
    <w:p>
      <w:pPr>
        <w:spacing w:after="120"/>
      </w:pPr>
    </w:p>
    <w:sectPr>
      <w:headerReference w:type="default" r:id="rId7"/>
      <w:headerReference w:type="first" r:id="rId8"/>
      <w:footerReference w:type="default" r:id="rId9"/>
      <w:footerReference w:type="first" r:id="rId10"/>
      <w:pgSz w:w="11906" w:h="16838" w:orient="portrait"/>
      <w:pgMar w:top="1300" w:right="1134" w:bottom="1200" w:left="113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3A5A" w:sz="6" w:space="4"/>
      </w:pBdr>
      <w:tabs>
        <w:tab w:val="right" w:pos="9638"/>
      </w:tabs>
    </w:pPr>
    <w:r>
      <w:rPr>
        <w:color w:val="5B6B7C"/>
        <w:sz w:val="16"/>
        <w:szCs w:val="16"/>
      </w:rPr>
      <w:t xml:space="preserve">AURA-SYRS-1.0  |  ISO/IEC/IEEE 29148:2018 §9.4 (SyRS)</w:t>
    </w:r>
    <w:r>
      <w:rPr>
        <w:color w:val="5B6B7C"/>
        <w:sz w:val="16"/>
        <w:szCs w:val="16"/>
      </w:rPr>
      <w:t xml:space="preserve">	Page </w:t>
    </w:r>
    <w:r>
      <w:rPr>
        <w:b/>
        <w:bCs/>
        <w:color w:val="163A5A"/>
        <w:sz w:val="16"/>
        <w:szCs w:val="16"/>
      </w:rPr>
      <w:fldChar w:fldCharType="begin"/>
      <w:instrText xml:space="preserve">PAGE</w:instrText>
      <w:fldChar w:fldCharType="separate"/>
      <w:fldChar w:fldCharType="end"/>
    </w:r>
    <w:r>
      <w:rPr>
        <w:color w:val="5B6B7C"/>
        <w:sz w:val="16"/>
        <w:szCs w:val="16"/>
      </w:rPr>
      <w:t xml:space="preserve"> of </w:t>
    </w:r>
    <w:r>
      <w:rPr>
        <w:b/>
        <w:bCs/>
        <w:color w:val="163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3A5A" w:sz="6" w:space="4"/>
      </w:pBdr>
    </w:pPr>
    <w:r>
      <w:rPr>
        <w:color w:val="5B6B7C"/>
        <w:sz w:val="16"/>
        <w:szCs w:val="16"/>
      </w:rPr>
      <w:t xml:space="preserve">Aura  |  </w:t>
    </w:r>
    <w:r>
      <w:rPr>
        <w:b/>
        <w:bCs/>
        <w:color w:val="163A5A"/>
        <w:sz w:val="16"/>
        <w:szCs w:val="16"/>
      </w:rPr>
      <w:t xml:space="preserve">SYSTEM REQUIREMENTS SPECIFICATION</w:t>
    </w:r>
    <w:r>
      <w:rPr>
        <w:color w:val="5B6B7C"/>
        <w:sz w:val="16"/>
        <w:szCs w:val="16"/>
      </w:rPr>
      <w:t xml:space="preserve">  |  AURA-SYRS-1.0  |  Classification: TBD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1A7F7A" w:sz="12" w:space="4"/>
      </w:pBdr>
      <w:spacing w:after="200" w:before="120"/>
      <w:outlineLvl w:val="0"/>
    </w:pPr>
    <w:rPr>
      <w:rFonts w:ascii="Cambria" w:cs="Cambria" w:eastAsia="Cambria" w:hAnsi="Cambria"/>
      <w:b/>
      <w:bCs/>
      <w:color w:val="163A5A"/>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4E79"/>
      <w:sz w:val="26"/>
      <w:szCs w:val="26"/>
    </w:rPr>
  </w:style>
  <w:style w:type="paragraph" w:styleId="Heading3">
    <w:name w:val="Heading 3"/>
    <w:basedOn w:val="Normal"/>
    <w:next w:val="Normal"/>
    <w:qFormat/>
    <w:pPr>
      <w:keepNext/>
      <w:spacing w:after="100" w:before="200"/>
      <w:outlineLvl w:val="2"/>
    </w:pPr>
    <w:rPr>
      <w:rFonts w:ascii="Cambria" w:cs="Cambria" w:eastAsia="Cambria" w:hAnsi="Cambria"/>
      <w:b/>
      <w:bCs/>
      <w:color w:val="1A7F7A"/>
      <w:sz w:val="22"/>
      <w:szCs w:val="22"/>
    </w:rPr>
  </w:style>
  <w:style w:type="paragraph" w:styleId="TOC1">
    <w:name w:val="toc 1"/>
    <w:basedOn w:val="Normal"/>
    <w:next w:val="Normal"/>
    <w:pPr>
      <w:tabs>
        <w:tab w:val="right" w:pos="9638" w:leader="dot"/>
      </w:tabs>
      <w:spacing w:after="40" w:before="120"/>
    </w:pPr>
    <w:rPr>
      <w:b/>
      <w:bCs/>
      <w:color w:val="163A5A"/>
      <w:sz w:val="21"/>
      <w:szCs w:val="21"/>
    </w:rPr>
  </w:style>
  <w:style w:type="paragraph" w:styleId="TOC2">
    <w:name w:val="toc 2"/>
    <w:basedOn w:val="Normal"/>
    <w:next w:val="Normal"/>
    <w:pPr>
      <w:tabs>
        <w:tab w:val="right" w:pos="9638" w:leader="dot"/>
      </w:tabs>
      <w:spacing w:after="30"/>
      <w:ind w:left="360"/>
    </w:pPr>
    <w:rPr>
      <w:sz w:val="20"/>
      <w:szCs w:val="20"/>
    </w:rPr>
  </w:style>
  <w:style w:type="paragraph" w:styleId="TOC3">
    <w:name w:val="toc 3"/>
    <w:basedOn w:val="Normal"/>
    <w:next w:val="Normal"/>
    <w:pPr>
      <w:tabs>
        <w:tab w:val="right" w:pos="9638" w:leader="dot"/>
      </w:tabs>
      <w:spacing w:after="20"/>
      <w:ind w:left="720"/>
    </w:pPr>
    <w:rPr>
      <w:color w:val="5B6B7C"/>
      <w:sz w:val="19"/>
      <w:szCs w:val="19"/>
    </w:rPr>
  </w:style>
  <w:style w:type="paragraph" w:styleId="TableofFigures">
    <w:name w:val="table of figures"/>
    <w:basedOn w:val="Normal"/>
    <w:next w:val="Normal"/>
    <w:pPr>
      <w:tabs>
        <w:tab w:val="right" w:pos="9638" w:leader="dot"/>
      </w:tabs>
      <w:spacing w:after="30"/>
    </w:pPr>
    <w:rPr>
      <w:sz w:val="20"/>
      <w:szCs w:val="20"/>
    </w:rPr>
  </w:style>
  <w:style w:type="paragraph" w:styleId="Caption">
    <w:name w:val="Caption"/>
    <w:basedOn w:val="Normal"/>
    <w:next w:val="Normal"/>
    <w:qFormat/>
    <w:pPr>
      <w:spacing w:after="120" w:before="60"/>
    </w:pPr>
    <w:rPr>
      <w:color w:val="163A5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6db4b55b2b80deb901da720242712068034c5d7.png"/><Relationship Id="rId12" Type="http://schemas.openxmlformats.org/officeDocument/2006/relationships/image" Target="media/b340681d3b465107bf868d5c37013d143d92065d.png"/><Relationship Id="rId13" Type="http://schemas.openxmlformats.org/officeDocument/2006/relationships/image" Target="media/ac47dec9074bc590bc1ca7ab6d150aa7be620ee9.png"/><Relationship Id="rId14" Type="http://schemas.openxmlformats.org/officeDocument/2006/relationships/image" Target="media/94b9414ad8cb949f4630ea21116a8759359b870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 Aura</dc:title>
  <dc:creator>Senior Software Architect</dc:creator>
  <dc:description>System-Level, Verifiable Requirements — Initial Baseline</dc:description>
  <cp:lastModifiedBy>Un-named</cp:lastModifiedBy>
  <cp:revision>1</cp:revision>
  <dcterms:created xsi:type="dcterms:W3CDTF">2026-10-13T09:02:15.416Z</dcterms:created>
  <dcterms:modified xsi:type="dcterms:W3CDTF">2026-10-13T09:02:15.416Z</dcterms:modified>
</cp:coreProperties>
</file>

<file path=docProps/custom.xml><?xml version="1.0" encoding="utf-8"?>
<Properties xmlns="http://schemas.openxmlformats.org/officeDocument/2006/custom-properties" xmlns:vt="http://schemas.openxmlformats.org/officeDocument/2006/docPropsVTypes"/>
</file>