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drawing>
          <wp:inline xmlns:a="http://schemas.openxmlformats.org/drawingml/2006/main" xmlns:pic="http://schemas.openxmlformats.org/drawingml/2006/picture">
            <wp:extent cx="1371600" cy="1382632"/>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371600" cy="1382632"/>
                    </a:xfrm>
                    <a:prstGeom prst="rect"/>
                  </pic:spPr>
                </pic:pic>
              </a:graphicData>
            </a:graphic>
          </wp:inline>
        </w:drawing>
      </w:r>
      <w:r>
        <w:t xml:space="preserve">       </w:t>
        <w:drawing>
          <wp:inline xmlns:a="http://schemas.openxmlformats.org/drawingml/2006/main" xmlns:pic="http://schemas.openxmlformats.org/drawingml/2006/picture">
            <wp:extent cx="2194560" cy="1347455"/>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2194560" cy="1347455"/>
                    </a:xfrm>
                    <a:prstGeom prst="rect"/>
                  </pic:spPr>
                </pic:pic>
              </a:graphicData>
            </a:graphic>
          </wp:inline>
        </w:drawing>
      </w:r>
    </w:p>
    <w:p>
      <w:pPr>
        <w:spacing w:after="80" w:before="0" w:line="324" w:lineRule="auto"/>
        <w:jc w:val="center"/>
      </w:pPr>
      <w:r>
        <w:rPr>
          <w:rFonts w:ascii="Times New Roman" w:hAnsi="Times New Roman"/>
          <w:b/>
          <w:i w:val="0"/>
          <w:sz w:val="40"/>
        </w:rPr>
        <w:t>FINAI WALLET ANALYZER</w:t>
      </w:r>
    </w:p>
    <w:p>
      <w:pPr>
        <w:spacing w:after="360" w:before="0" w:line="324" w:lineRule="auto"/>
        <w:jc w:val="center"/>
      </w:pPr>
      <w:r>
        <w:rPr>
          <w:rFonts w:ascii="Times New Roman" w:hAnsi="Times New Roman"/>
          <w:b/>
          <w:i w:val="0"/>
          <w:sz w:val="26"/>
        </w:rPr>
        <w:t>AI-Assisted Digital Wallet Transaction Analyzer, Auto-Segregator, and Month-End Spend Forecaster</w:t>
      </w:r>
    </w:p>
    <w:p>
      <w:pPr>
        <w:spacing w:after="280" w:before="0" w:line="324" w:lineRule="auto"/>
        <w:jc w:val="center"/>
      </w:pPr>
      <w:r>
        <w:rPr>
          <w:rFonts w:ascii="Times New Roman" w:hAnsi="Times New Roman"/>
          <w:b/>
          <w:i w:val="0"/>
          <w:sz w:val="28"/>
        </w:rPr>
        <w:t>A MINI PROJECT REPORT</w:t>
      </w:r>
    </w:p>
    <w:p>
      <w:pPr>
        <w:spacing w:after="160" w:before="0" w:line="324" w:lineRule="auto"/>
        <w:jc w:val="center"/>
      </w:pPr>
      <w:r>
        <w:rPr>
          <w:rFonts w:ascii="Times New Roman" w:hAnsi="Times New Roman"/>
          <w:b w:val="0"/>
          <w:i w:val="0"/>
          <w:sz w:val="22"/>
        </w:rPr>
        <w:t>Submitted by</w:t>
      </w:r>
    </w:p>
    <w:p>
      <w:pPr>
        <w:spacing w:after="360" w:before="0" w:line="324" w:lineRule="auto"/>
        <w:jc w:val="center"/>
      </w:pPr>
      <w:r>
        <w:rPr>
          <w:rFonts w:ascii="Times New Roman" w:hAnsi="Times New Roman"/>
          <w:b/>
          <w:i w:val="0"/>
          <w:sz w:val="22"/>
        </w:rPr>
        <w:t>KIRTHIKA R</w:t>
        <w:tab/>
        <w:t>713524CS067</w:t>
        <w:br/>
        <w:t>MADANIKA S</w:t>
        <w:tab/>
        <w:t>713524CS075</w:t>
        <w:br/>
        <w:t>MAHANASRI M</w:t>
        <w:tab/>
        <w:t>713524CS077</w:t>
        <w:br/>
        <w:t>MUKILA N</w:t>
        <w:tab/>
        <w:t>713524CS088</w:t>
      </w:r>
    </w:p>
    <w:p>
      <w:pPr>
        <w:spacing w:after="120" w:before="0" w:line="324" w:lineRule="auto"/>
        <w:jc w:val="center"/>
      </w:pPr>
      <w:r>
        <w:rPr>
          <w:rFonts w:ascii="Times New Roman" w:hAnsi="Times New Roman"/>
          <w:b w:val="0"/>
          <w:i w:val="0"/>
          <w:sz w:val="22"/>
        </w:rPr>
        <w:t>in partial fulfillment for the award of the degree of</w:t>
      </w:r>
    </w:p>
    <w:p>
      <w:pPr>
        <w:spacing w:after="80" w:before="0" w:line="324" w:lineRule="auto"/>
        <w:jc w:val="center"/>
      </w:pPr>
      <w:r>
        <w:rPr>
          <w:rFonts w:ascii="Times New Roman" w:hAnsi="Times New Roman"/>
          <w:b/>
          <w:i w:val="0"/>
          <w:sz w:val="28"/>
        </w:rPr>
        <w:t>BACHELOR OF ENGINEERING</w:t>
      </w:r>
    </w:p>
    <w:p>
      <w:pPr>
        <w:spacing w:after="80" w:before="0" w:line="324" w:lineRule="auto"/>
        <w:jc w:val="center"/>
      </w:pPr>
      <w:r>
        <w:rPr>
          <w:rFonts w:ascii="Times New Roman" w:hAnsi="Times New Roman"/>
          <w:b w:val="0"/>
          <w:i w:val="0"/>
          <w:sz w:val="22"/>
        </w:rPr>
        <w:t>in</w:t>
      </w:r>
    </w:p>
    <w:p>
      <w:pPr>
        <w:spacing w:after="160" w:before="0" w:line="324" w:lineRule="auto"/>
        <w:jc w:val="center"/>
      </w:pPr>
      <w:r>
        <w:rPr>
          <w:rFonts w:ascii="Times New Roman" w:hAnsi="Times New Roman"/>
          <w:b/>
          <w:i w:val="0"/>
          <w:sz w:val="28"/>
        </w:rPr>
        <w:t>COMPUTER SCIENCE AND ENGINEERING</w:t>
      </w:r>
    </w:p>
    <w:p>
      <w:pPr>
        <w:spacing w:after="280" w:before="0" w:line="324" w:lineRule="auto"/>
        <w:jc w:val="center"/>
      </w:pPr>
      <w:r>
        <w:rPr>
          <w:rFonts w:ascii="Times New Roman" w:hAnsi="Times New Roman"/>
          <w:b/>
          <w:i w:val="0"/>
          <w:sz w:val="26"/>
        </w:rPr>
        <w:t>SNS COLLEGE OF TECHNOLOGY</w:t>
        <w:br/>
        <w:t>COIMBATORE 641035</w:t>
      </w:r>
    </w:p>
    <w:p>
      <w:pPr>
        <w:spacing w:after="0" w:before="0" w:line="324" w:lineRule="auto"/>
        <w:jc w:val="center"/>
      </w:pPr>
      <w:r>
        <w:rPr>
          <w:rFonts w:ascii="Times New Roman" w:hAnsi="Times New Roman"/>
          <w:b/>
          <w:i w:val="0"/>
          <w:sz w:val="24"/>
        </w:rPr>
        <w:t>November 2026</w:t>
      </w:r>
    </w:p>
    <w:p>
      <w:r>
        <w:br w:type="page"/>
      </w:r>
    </w:p>
    <w:p>
      <w:pPr>
        <w:spacing w:before="0" w:after="160"/>
        <w:jc w:val="center"/>
      </w:pPr>
      <w:r>
        <w:drawing>
          <wp:inline xmlns:a="http://schemas.openxmlformats.org/drawingml/2006/main" xmlns:pic="http://schemas.openxmlformats.org/drawingml/2006/picture">
            <wp:extent cx="1097280" cy="1106105"/>
            <wp:docPr id="3" name="Picture 3"/>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097280" cy="1106105"/>
                    </a:xfrm>
                    <a:prstGeom prst="rect"/>
                  </pic:spPr>
                </pic:pic>
              </a:graphicData>
            </a:graphic>
          </wp:inline>
        </w:drawing>
      </w:r>
      <w:r>
        <w:t xml:space="preserve">     </w:t>
        <w:drawing>
          <wp:inline xmlns:a="http://schemas.openxmlformats.org/drawingml/2006/main" xmlns:pic="http://schemas.openxmlformats.org/drawingml/2006/picture">
            <wp:extent cx="1828800" cy="1122879"/>
            <wp:docPr id="4" name="Picture 4"/>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1828800" cy="1122879"/>
                    </a:xfrm>
                    <a:prstGeom prst="rect"/>
                  </pic:spPr>
                </pic:pic>
              </a:graphicData>
            </a:graphic>
          </wp:inline>
        </w:drawing>
      </w:r>
    </w:p>
    <w:p>
      <w:pPr>
        <w:spacing w:after="160" w:before="0" w:line="324" w:lineRule="auto"/>
        <w:jc w:val="center"/>
      </w:pPr>
      <w:r>
        <w:rPr>
          <w:rFonts w:ascii="Times New Roman" w:hAnsi="Times New Roman"/>
          <w:b/>
          <w:i w:val="0"/>
          <w:sz w:val="26"/>
        </w:rPr>
        <w:t>SNS COLLEGE OF TECHNOLOGY</w:t>
        <w:br/>
        <w:t>COIMBATORE 641035</w:t>
      </w:r>
    </w:p>
    <w:p>
      <w:pPr>
        <w:spacing w:after="280" w:before="0" w:line="324" w:lineRule="auto"/>
        <w:jc w:val="center"/>
      </w:pPr>
      <w:r>
        <w:rPr>
          <w:rFonts w:ascii="Times New Roman" w:hAnsi="Times New Roman"/>
          <w:b/>
          <w:i w:val="0"/>
          <w:sz w:val="28"/>
        </w:rPr>
        <w:t>BONAFIDE CERTIFICATE</w:t>
      </w:r>
    </w:p>
    <w:p>
      <w:pPr>
        <w:spacing w:after="480" w:before="0" w:line="324" w:lineRule="auto"/>
        <w:jc w:val="both"/>
      </w:pPr>
      <w:r>
        <w:rPr>
          <w:rFonts w:ascii="Times New Roman" w:hAnsi="Times New Roman"/>
          <w:b w:val="0"/>
          <w:i w:val="0"/>
          <w:sz w:val="23"/>
        </w:rPr>
        <w:t>Certified that this mini Project Report titled, "FINAI WALLET ANALYZER - AI-Assisted Digital Wallet Transaction Analyzer, Auto-Segregator, and Month-End Spend Forecaster" is the bonafide record of "Kirthika R (713524CS067), Madanika S (713524CS075), Mahanasri M (713524CS077), Mukila N (713524CS088)" who carried out the mini Project Work under our supervision. Certified further, that to the best of my knowledge the work reported herein does not form part of any other mini project report or dissertation on the basis of which a degree or award was conferred on an earlier occasion on this or any other candidate.</w:t>
      </w:r>
    </w:p>
    <w:p>
      <w:pPr>
        <w:spacing w:after="120" w:before="0" w:line="324" w:lineRule="auto"/>
        <w:jc w:val="both"/>
      </w:pPr>
      <w:r>
        <w:rPr>
          <w:rFonts w:ascii="Times New Roman" w:hAnsi="Times New Roman"/>
          <w:b/>
          <w:i w:val="0"/>
          <w:sz w:val="22"/>
        </w:rPr>
        <w:t>PROJECT GUIDE</w:t>
        <w:tab/>
        <w:tab/>
        <w:tab/>
        <w:tab/>
        <w:t>HEAD OF THE DEPARTMENT</w:t>
      </w:r>
    </w:p>
    <w:p>
      <w:pPr>
        <w:spacing w:after="560" w:before="0" w:line="324" w:lineRule="auto"/>
        <w:jc w:val="both"/>
      </w:pPr>
      <w:r>
        <w:rPr>
          <w:rFonts w:ascii="Times New Roman" w:hAnsi="Times New Roman"/>
          <w:b w:val="0"/>
          <w:i w:val="0"/>
          <w:sz w:val="20"/>
        </w:rPr>
        <w:t>Ms. V. Vaishnavee</w:t>
        <w:tab/>
        <w:tab/>
        <w:tab/>
        <w:tab/>
        <w:t>Dr. M. Shobana</w:t>
        <w:br/>
        <w:t>Assistant Professor, AI &amp; DS</w:t>
        <w:tab/>
        <w:tab/>
        <w:tab/>
        <w:t>Associate Professor &amp; Head, CSE</w:t>
        <w:br/>
        <w:t>SNS College of Technology</w:t>
        <w:tab/>
        <w:tab/>
        <w:tab/>
        <w:t>SNS College of Technology</w:t>
        <w:br/>
        <w:t>Coimbatore - 641035.</w:t>
        <w:tab/>
        <w:tab/>
        <w:tab/>
        <w:tab/>
        <w:t>Coimbatore - 641035.</w:t>
      </w:r>
    </w:p>
    <w:p>
      <w:pPr>
        <w:spacing w:after="480" w:before="0" w:line="324" w:lineRule="auto"/>
        <w:jc w:val="both"/>
      </w:pPr>
      <w:r>
        <w:rPr>
          <w:rFonts w:ascii="Times New Roman" w:hAnsi="Times New Roman"/>
          <w:b w:val="0"/>
          <w:i w:val="0"/>
          <w:sz w:val="21"/>
        </w:rPr>
        <w:t>Submitted for the Viva-Voce examination held at SNS COLLEGE OF TECHNOLOGY, held on ...............................................</w:t>
      </w:r>
    </w:p>
    <w:p>
      <w:pPr>
        <w:spacing w:after="0" w:before="0" w:line="324" w:lineRule="auto"/>
        <w:jc w:val="both"/>
      </w:pPr>
      <w:r>
        <w:rPr>
          <w:rFonts w:ascii="Times New Roman" w:hAnsi="Times New Roman"/>
          <w:b/>
          <w:i w:val="0"/>
          <w:sz w:val="22"/>
        </w:rPr>
        <w:t>Examiner 1</w:t>
        <w:tab/>
        <w:tab/>
        <w:tab/>
        <w:tab/>
        <w:tab/>
        <w:tab/>
        <w:t>Examiner 2</w:t>
      </w:r>
    </w:p>
    <w:p>
      <w:r>
        <w:br w:type="page"/>
      </w:r>
    </w:p>
    <w:p>
      <w:pPr>
        <w:spacing w:after="240" w:before="0" w:line="324" w:lineRule="auto"/>
        <w:jc w:val="center"/>
      </w:pPr>
      <w:r>
        <w:rPr>
          <w:rFonts w:ascii="Times New Roman" w:hAnsi="Times New Roman"/>
          <w:b/>
          <w:i w:val="0"/>
          <w:sz w:val="30"/>
        </w:rPr>
        <w:t>ABSTRACT</w:t>
      </w:r>
    </w:p>
    <w:p>
      <w:pPr>
        <w:spacing w:after="240" w:before="0" w:line="324" w:lineRule="auto"/>
        <w:jc w:val="both"/>
      </w:pPr>
      <w:r>
        <w:rPr>
          <w:rFonts w:ascii="Times New Roman" w:hAnsi="Times New Roman"/>
          <w:b w:val="0"/>
          <w:i w:val="0"/>
          <w:sz w:val="22"/>
        </w:rPr>
        <w:t>Digital wallet platforms (such as Google Pay, PhonePe, Paytm, Amazon Pay, and Apple Pay) have revolutionized peer-to-peer and merchant payments across India and globally. However, standard wallet applications restrict their utility to transactional logs—merely listing historical debit records without deriving actionable financial intelligence. Users struggle to assimilate aggregate spending behavior, segregate outlays across multi-wallet fragmented ecosystems, adhere to categorical budget ceilings, forecast month-end liquidity exhaustion, and detect suspicious fraudulent debits. The FinAI Wallet Analyzer resolves this fragmentation by engineering an intelligent, end-to-end full-stack financial advisory architecture driven by Natural Language Processing (NLP), rule-based machine intelligence, and Web Speech interfaces.</w:t>
        <w:br/>
        <w:br/>
        <w:t>FinAI Wallet Analyzer automatically auto-segregates raw payment logs across predefined categories (Groceries, Utilities, Dining, Investments, Personal) and necessity tiers (Need vs. Want). It features an autonomous AI Fraud &amp; Anomaly Detector that calculates real-time risk scores (Low, Medium, High) based on temporal anomalies (e.g. 03:42 AM crypto debit), abnormal volume spikes, and merchant risk profiles. A Predictive Month-End Spend &amp; Burn-Rate Forecaster evaluates historical burn velocity against daily spend runways, delivering dynamic daily safe spend quotas and projected month-end trajectory curves. Additionally, an interactive Voice Payment Assistant leverages the Web Speech API and an NLP entity extraction parser to recognize colloquial voice commands, extract amounts and merchants, and log transactions hands-free. The system is engineered using a decoupled modern architecture: a React 18, Vite, and Tailwind CSS frontend coupled with a high-throughput Python 3.13 FastAPI backend and SQLite/SQLAlchemy ORM. Furthermore, a resilient client-side fallback engine (clientEngine.js) enables zero-downtime offline operation and seamless hosting on GitHub Pages and Vercel. Comprehensive functional, integration, and UI evaluations demonstrate high classification precision, rapid voice query parsing, and robust financial insights.</w:t>
      </w:r>
    </w:p>
    <w:p>
      <w:r>
        <w:br w:type="page"/>
      </w:r>
    </w:p>
    <w:p>
      <w:pPr>
        <w:spacing w:after="200" w:before="0" w:line="324" w:lineRule="auto"/>
        <w:jc w:val="center"/>
      </w:pPr>
      <w:r>
        <w:rPr>
          <w:rFonts w:ascii="Times New Roman" w:hAnsi="Times New Roman"/>
          <w:b/>
          <w:i w:val="0"/>
          <w:sz w:val="30"/>
        </w:rPr>
        <w:t>TABLE OF CONTENTS</w:t>
      </w:r>
    </w:p>
    <w:tbl>
      <w:tblPr>
        <w:tblW w:type="auto" w:w="0"/>
        <w:jc w:val="center"/>
        <w:tblLook w:firstColumn="1" w:firstRow="1" w:lastColumn="0" w:lastRow="0" w:noHBand="0" w:noVBand="1" w:val="04A0"/>
      </w:tblPr>
      <w:tblGrid>
        <w:gridCol w:w="3216"/>
        <w:gridCol w:w="3216"/>
        <w:gridCol w:w="3216"/>
      </w:tblGrid>
      <w:tr>
        <w:tc>
          <w:tcPr>
            <w:tcW w:type="dxa" w:w="3216"/>
            <w:shd w:fill="EAEAEA"/>
            <w:tcMar>
              <w:top w:w="120" w:type="dxa"/>
              <w:bottom w:w="120" w:type="dxa"/>
              <w:left w:w="150" w:type="dxa"/>
              <w:right w:w="150" w:type="dxa"/>
            </w:tcMar>
          </w:tcPr>
          <w:p>
            <w:pPr>
              <w:jc w:val="center"/>
            </w:pPr>
            <w:r>
              <w:rPr>
                <w:rFonts w:ascii="Times New Roman" w:hAnsi="Times New Roman"/>
                <w:b/>
                <w:sz w:val="20"/>
              </w:rPr>
              <w:t>No.</w:t>
            </w:r>
          </w:p>
        </w:tc>
        <w:tc>
          <w:tcPr>
            <w:tcW w:type="dxa" w:w="3216"/>
            <w:shd w:fill="EAEAEA"/>
            <w:tcMar>
              <w:top w:w="120" w:type="dxa"/>
              <w:bottom w:w="120" w:type="dxa"/>
              <w:left w:w="150" w:type="dxa"/>
              <w:right w:w="150" w:type="dxa"/>
            </w:tcMar>
          </w:tcPr>
          <w:p>
            <w:pPr>
              <w:jc w:val="center"/>
            </w:pPr>
            <w:r>
              <w:rPr>
                <w:rFonts w:ascii="Times New Roman" w:hAnsi="Times New Roman"/>
                <w:b/>
                <w:sz w:val="20"/>
              </w:rPr>
              <w:t>Topic</w:t>
            </w:r>
          </w:p>
        </w:tc>
        <w:tc>
          <w:tcPr>
            <w:tcW w:type="dxa" w:w="3216"/>
            <w:shd w:fill="EAEAEA"/>
            <w:tcMar>
              <w:top w:w="120" w:type="dxa"/>
              <w:bottom w:w="120" w:type="dxa"/>
              <w:left w:w="150" w:type="dxa"/>
              <w:right w:w="150" w:type="dxa"/>
            </w:tcMar>
          </w:tcPr>
          <w:p>
            <w:pPr>
              <w:jc w:val="center"/>
            </w:pPr>
            <w:r>
              <w:rPr>
                <w:rFonts w:ascii="Times New Roman" w:hAnsi="Times New Roman"/>
                <w:b/>
                <w:sz w:val="20"/>
              </w:rPr>
              <w:t>Page</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r>
          </w:p>
        </w:tc>
        <w:tc>
          <w:tcPr>
            <w:tcW w:type="dxa" w:w="3216"/>
            <w:tcMar>
              <w:top w:w="80" w:type="dxa"/>
              <w:bottom w:w="80" w:type="dxa"/>
              <w:left w:w="150" w:type="dxa"/>
              <w:right w:w="150" w:type="dxa"/>
            </w:tcMar>
          </w:tcPr>
          <w:p>
            <w:pPr>
              <w:spacing w:line="276" w:lineRule="auto" w:after="40"/>
            </w:pPr>
            <w:r>
              <w:rPr>
                <w:rFonts w:ascii="Times New Roman" w:hAnsi="Times New Roman"/>
                <w:sz w:val="19"/>
              </w:rPr>
              <w:t>ABSTRACT</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iii</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LIST OF TABLES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vi</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r>
          </w:p>
        </w:tc>
        <w:tc>
          <w:tcPr>
            <w:tcW w:type="dxa" w:w="3216"/>
            <w:tcMar>
              <w:top w:w="80" w:type="dxa"/>
              <w:bottom w:w="80" w:type="dxa"/>
              <w:left w:w="150" w:type="dxa"/>
              <w:right w:w="150" w:type="dxa"/>
            </w:tcMar>
          </w:tcPr>
          <w:p>
            <w:pPr>
              <w:spacing w:line="276" w:lineRule="auto" w:after="40"/>
            </w:pPr>
            <w:r>
              <w:rPr>
                <w:rFonts w:ascii="Times New Roman" w:hAnsi="Times New Roman"/>
                <w:sz w:val="19"/>
              </w:rPr>
              <w:t>LIST OF FIGURES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vii</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LIST OF SYMBOLS &amp; ABBREVIATIONS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viii</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INTRODUCTION</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1</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Background</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1.2</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Project Overview</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1</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1.3</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Motivation</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2</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1.4</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Objectives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2</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1.5</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Scope</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3</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2.</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PROBLEM IDENTIFICATION</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4</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2.1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Existing Scenario</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4</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2.2</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Existing System</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4</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2.3</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Existing System Drawbacks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5</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2.4</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Problem Statement</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5</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2.5</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Proposed Solution</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5</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3.</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EMPATHIZE AND DEFINE</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7</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3.1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Empathy Study</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7</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3.2</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User Identification</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7</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3.3</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Primary and Secondary Users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8</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3.4</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User Needs and Pain Points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8</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3.5</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User Persona and Expectations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9</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3.6</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Refined Problem Definition</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10</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4.</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IDEATION</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11</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4.1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Idea Generation and Brainstorming</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11</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4.2</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Evaluation of Alternatives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11</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4.3</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Selected Idea and Key Features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12</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4.4</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Final System Concept</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13</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5.</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REQUIREMENT ANALYSIS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14</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5.1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Introduction</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14</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5.2</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Functional Requirements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14</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5.3</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Non-Functional Requirements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16</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5.4</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Hardware and Software Requirements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17</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5.5</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Expense Categories and Priority / Risk Levels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18</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5.6</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User Roles and Security Constraints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19</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6.</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TECHNOLOGY STACK</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21</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6.1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Introduction</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21</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6.2</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Frontend Frameworks and Tooling</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21</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6.3</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Backend Architecture and Web Services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22</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6.4</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Database and Client-Side Storage Engines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23</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6.5</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Artificial Intelligence and NLP Components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24</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7.</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SYSTEM DESIGN</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26</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7.1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System Architecture</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26</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7.2</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Working Flow and System Components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27</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7.3</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Data Flow Diagram (Level 0 and Level 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29</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7.4</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Use Case Modeling</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31</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8.</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DATABASE DESIGN</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33</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8.1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Database Objectives and Schema Architecture</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33</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8.2</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Entity Definitions (Transaction, Budget, Bill)</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34</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8.3</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Entity Relationship Modeling (ERD)</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36</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9.</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MODULE DESCRIPTION</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38</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9.1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Modular Architecture Overview (N1 - N10 Modules)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38</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9.2</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Detailed Subsystem Specifications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39</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10.</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IMPLEMENTATION AND WORKING PRINCIPLE</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44</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10.1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Frontend and UI Component Pipeline</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44</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10.2</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FastAPI Service and Dual-Mode Client Fallback</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46</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10.3</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AI Auto-Categorizer and Keyword Engine</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48</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10.4</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AI Fraud &amp; Anomaly Risk Detection Algorithm</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49</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10.5</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Month-End Burn-Rate &amp; Runway Forecaster Logic</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51</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10.6</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Web Speech Voice Assistant and NLP Parsing</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53</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11.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TESTING</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56</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11.1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Testing Methodology and Objectives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56</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11.2</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Unit, Integration, and UI Test Verification</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56</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11.3</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Functional Test Cases and Execution Results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57</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12.</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PROJECT EVALUATION</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61</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12.1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Objective Evaluation Matrix</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61</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12.2</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Usability, Performance, and Security Assessment</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62</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12.3</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System Strengths and Operational Limitations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63</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13.</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CONCLUSION AND FUTURE ENHANCEMENTS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65</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13.1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Project Conclusion</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65</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13.2</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Future Scalability and Roadmaps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66</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14.</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PROJECT ACCESS, DEPLOYMENT AND QR CODE</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68</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14.1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GitHub Repository and CI/CD Workflow</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68</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14.2</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Online Cloud Deployment Link and QR Code</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69</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r>
          </w:p>
        </w:tc>
        <w:tc>
          <w:tcPr>
            <w:tcW w:type="dxa" w:w="3216"/>
            <w:tcMar>
              <w:top w:w="80" w:type="dxa"/>
              <w:bottom w:w="80" w:type="dxa"/>
              <w:left w:w="150" w:type="dxa"/>
              <w:right w:w="150" w:type="dxa"/>
            </w:tcMar>
          </w:tcPr>
          <w:p>
            <w:pPr>
              <w:spacing w:line="276" w:lineRule="auto" w:after="40"/>
            </w:pPr>
            <w:r>
              <w:rPr>
                <w:rFonts w:ascii="Times New Roman" w:hAnsi="Times New Roman"/>
                <w:sz w:val="19"/>
              </w:rPr>
              <w:t>APPENDIX I - RESULTS AND SCREENSHOTS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71</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APPENDIX II - CORE FUNCTIONALITY CODE</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79</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r>
          </w:p>
        </w:tc>
        <w:tc>
          <w:tcPr>
            <w:tcW w:type="dxa" w:w="3216"/>
            <w:tcMar>
              <w:top w:w="80" w:type="dxa"/>
              <w:bottom w:w="80" w:type="dxa"/>
              <w:left w:w="150" w:type="dxa"/>
              <w:right w:w="150" w:type="dxa"/>
            </w:tcMar>
          </w:tcPr>
          <w:p>
            <w:pPr>
              <w:spacing w:line="276" w:lineRule="auto" w:after="40"/>
            </w:pPr>
            <w:r>
              <w:rPr>
                <w:rFonts w:ascii="Times New Roman" w:hAnsi="Times New Roman"/>
                <w:sz w:val="19"/>
              </w:rPr>
              <w:t>REFERENCES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87</w:t>
            </w:r>
          </w:p>
        </w:tc>
      </w:tr>
    </w:tbl>
    <w:p>
      <w:pPr>
        <w:spacing w:after="80"/>
      </w:pPr>
    </w:p>
    <w:p>
      <w:r>
        <w:br w:type="page"/>
      </w:r>
    </w:p>
    <w:p>
      <w:pPr>
        <w:spacing w:after="160" w:before="0" w:line="324" w:lineRule="auto"/>
        <w:jc w:val="center"/>
      </w:pPr>
      <w:r>
        <w:rPr>
          <w:rFonts w:ascii="Times New Roman" w:hAnsi="Times New Roman"/>
          <w:b/>
          <w:i w:val="0"/>
          <w:sz w:val="28"/>
        </w:rPr>
        <w:t>LIST OF TABLES</w:t>
      </w:r>
    </w:p>
    <w:tbl>
      <w:tblPr>
        <w:tblW w:type="auto" w:w="0"/>
        <w:jc w:val="center"/>
        <w:tblLook w:firstColumn="1" w:firstRow="1" w:lastColumn="0" w:lastRow="0" w:noHBand="0" w:noVBand="1" w:val="04A0"/>
      </w:tblPr>
      <w:tblGrid>
        <w:gridCol w:w="3216"/>
        <w:gridCol w:w="3216"/>
        <w:gridCol w:w="3216"/>
      </w:tblGrid>
      <w:tr>
        <w:tc>
          <w:tcPr>
            <w:tcW w:type="dxa" w:w="3216"/>
            <w:shd w:fill="EAEAEA"/>
            <w:tcMar>
              <w:top w:w="120" w:type="dxa"/>
              <w:bottom w:w="120" w:type="dxa"/>
              <w:left w:w="150" w:type="dxa"/>
              <w:right w:w="150" w:type="dxa"/>
            </w:tcMar>
          </w:tcPr>
          <w:p>
            <w:pPr>
              <w:jc w:val="center"/>
            </w:pPr>
            <w:r>
              <w:rPr>
                <w:rFonts w:ascii="Times New Roman" w:hAnsi="Times New Roman"/>
                <w:b/>
                <w:sz w:val="20"/>
              </w:rPr>
              <w:t>Table No.</w:t>
            </w:r>
          </w:p>
        </w:tc>
        <w:tc>
          <w:tcPr>
            <w:tcW w:type="dxa" w:w="3216"/>
            <w:shd w:fill="EAEAEA"/>
            <w:tcMar>
              <w:top w:w="120" w:type="dxa"/>
              <w:bottom w:w="120" w:type="dxa"/>
              <w:left w:w="150" w:type="dxa"/>
              <w:right w:w="150" w:type="dxa"/>
            </w:tcMar>
          </w:tcPr>
          <w:p>
            <w:pPr>
              <w:jc w:val="center"/>
            </w:pPr>
            <w:r>
              <w:rPr>
                <w:rFonts w:ascii="Times New Roman" w:hAnsi="Times New Roman"/>
                <w:b/>
                <w:sz w:val="20"/>
              </w:rPr>
              <w:t>Description</w:t>
            </w:r>
          </w:p>
        </w:tc>
        <w:tc>
          <w:tcPr>
            <w:tcW w:type="dxa" w:w="3216"/>
            <w:shd w:fill="EAEAEA"/>
            <w:tcMar>
              <w:top w:w="120" w:type="dxa"/>
              <w:bottom w:w="120" w:type="dxa"/>
              <w:left w:w="150" w:type="dxa"/>
              <w:right w:w="150" w:type="dxa"/>
            </w:tcMar>
          </w:tcPr>
          <w:p>
            <w:pPr>
              <w:jc w:val="center"/>
            </w:pPr>
            <w:r>
              <w:rPr>
                <w:rFonts w:ascii="Times New Roman" w:hAnsi="Times New Roman"/>
                <w:b/>
                <w:sz w:val="20"/>
              </w:rPr>
              <w:t>Page</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Table 2.1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Comparison between Traditional Wallet Logs and FinAI Wallet Analyzer</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6</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Table 3.1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User Pain Points and Proposed Technical Solutions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9</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Table 5.1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Functional Requirements of FinAI Wallet Analyzer</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15</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Table 5.2</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Non-Functional Quality Attributes and Service Metrics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16</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Table 5.3</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Financial Transaction Categories and Spending Heuristics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18</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Table 5.4</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AI Fraud Risk Assessment Scoring Matrix</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19</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Table 5.5</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User Roles and Permission Capabilities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20</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Table 6.1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Comprehensive Technology Stack Specifications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25</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Table 8.1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Transaction Table Data Dictionary</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34</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Table 8.2</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Monthly Category Budget Table Data Dictionary</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35</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Table 8.3</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Recurring Bill Reminders Table Data Dictionary</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35</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Table 9.1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FinAI Core Architecture Modules (N1 to N10)</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39</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Table 11.1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Comprehensive Functional and Algorithmic Test Cases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58</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Table 12.1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System Objective Realization and Performance Evaluation</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61</w:t>
            </w:r>
          </w:p>
        </w:tc>
      </w:tr>
    </w:tbl>
    <w:p>
      <w:pPr>
        <w:spacing w:after="80"/>
      </w:pPr>
    </w:p>
    <w:p>
      <w:pPr>
        <w:spacing w:after="160" w:before="240" w:line="324" w:lineRule="auto"/>
        <w:jc w:val="center"/>
      </w:pPr>
      <w:r>
        <w:rPr>
          <w:rFonts w:ascii="Times New Roman" w:hAnsi="Times New Roman"/>
          <w:b/>
          <w:i w:val="0"/>
          <w:sz w:val="28"/>
        </w:rPr>
        <w:t>LIST OF FIGURES</w:t>
      </w:r>
    </w:p>
    <w:tbl>
      <w:tblPr>
        <w:tblW w:type="auto" w:w="0"/>
        <w:jc w:val="center"/>
        <w:tblLook w:firstColumn="1" w:firstRow="1" w:lastColumn="0" w:lastRow="0" w:noHBand="0" w:noVBand="1" w:val="04A0"/>
      </w:tblPr>
      <w:tblGrid>
        <w:gridCol w:w="3216"/>
        <w:gridCol w:w="3216"/>
        <w:gridCol w:w="3216"/>
      </w:tblGrid>
      <w:tr>
        <w:tc>
          <w:tcPr>
            <w:tcW w:type="dxa" w:w="3216"/>
            <w:shd w:fill="EAEAEA"/>
            <w:tcMar>
              <w:top w:w="120" w:type="dxa"/>
              <w:bottom w:w="120" w:type="dxa"/>
              <w:left w:w="150" w:type="dxa"/>
              <w:right w:w="150" w:type="dxa"/>
            </w:tcMar>
          </w:tcPr>
          <w:p>
            <w:pPr>
              <w:jc w:val="center"/>
            </w:pPr>
            <w:r>
              <w:rPr>
                <w:rFonts w:ascii="Times New Roman" w:hAnsi="Times New Roman"/>
                <w:b/>
                <w:sz w:val="20"/>
              </w:rPr>
              <w:t>Figure No.</w:t>
            </w:r>
          </w:p>
        </w:tc>
        <w:tc>
          <w:tcPr>
            <w:tcW w:type="dxa" w:w="3216"/>
            <w:shd w:fill="EAEAEA"/>
            <w:tcMar>
              <w:top w:w="120" w:type="dxa"/>
              <w:bottom w:w="120" w:type="dxa"/>
              <w:left w:w="150" w:type="dxa"/>
              <w:right w:w="150" w:type="dxa"/>
            </w:tcMar>
          </w:tcPr>
          <w:p>
            <w:pPr>
              <w:jc w:val="center"/>
            </w:pPr>
            <w:r>
              <w:rPr>
                <w:rFonts w:ascii="Times New Roman" w:hAnsi="Times New Roman"/>
                <w:b/>
                <w:sz w:val="20"/>
              </w:rPr>
              <w:t>Description</w:t>
            </w:r>
          </w:p>
        </w:tc>
        <w:tc>
          <w:tcPr>
            <w:tcW w:type="dxa" w:w="3216"/>
            <w:shd w:fill="EAEAEA"/>
            <w:tcMar>
              <w:top w:w="120" w:type="dxa"/>
              <w:bottom w:w="120" w:type="dxa"/>
              <w:left w:w="150" w:type="dxa"/>
              <w:right w:w="150" w:type="dxa"/>
            </w:tcMar>
          </w:tcPr>
          <w:p>
            <w:pPr>
              <w:jc w:val="center"/>
            </w:pPr>
            <w:r>
              <w:rPr>
                <w:rFonts w:ascii="Times New Roman" w:hAnsi="Times New Roman"/>
                <w:b/>
                <w:sz w:val="20"/>
              </w:rPr>
              <w:t>Page</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Figure 1.1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High-Level Architectural Overview of FinAI Wallet Analyzer</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3</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Figure 7.1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End-to-End Multilayer System Architecture</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26</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Figure 7.2</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Detailed Component Interaction and Communication Pipeline</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28</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Figure 7.3</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User Interaction and Transaction Processing Workflow</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30</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Figure 7.4</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Data Flow Diagram (Level 1 DFD)</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31</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Figure 7.5</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System Use Case Diagram</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32</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Figure 8.1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Entity Relationship Diagram (ERD)</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37</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Figure 10.1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End-to-End Transaction Processing and Forecaster Workflow</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55</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Figure 14.1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Deployment Repository and Cloud Verification QR Code</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69</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Figure 15.1</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Monthly Category Budgets &amp; Scheduled Bill Reminders Interface</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72</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Figure 15.2</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AI Auto-Segregation &amp; Multi-Wallet Transaction Analysis Interface</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74</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Figure 15.3</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All Digital Wallets Comparison and Market Share Distribution</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76</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Figure 15.4</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Predictive Month-End Spend Forecaster &amp; Burn-Rate Trajectory Chart</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78</w:t>
            </w:r>
          </w:p>
        </w:tc>
      </w:tr>
    </w:tbl>
    <w:p>
      <w:pPr>
        <w:spacing w:after="80"/>
      </w:pPr>
    </w:p>
    <w:p>
      <w:r>
        <w:br w:type="page"/>
      </w:r>
    </w:p>
    <w:p>
      <w:pPr>
        <w:spacing w:after="200" w:before="0" w:line="324" w:lineRule="auto"/>
        <w:jc w:val="center"/>
      </w:pPr>
      <w:r>
        <w:rPr>
          <w:rFonts w:ascii="Times New Roman" w:hAnsi="Times New Roman"/>
          <w:b/>
          <w:i w:val="0"/>
          <w:sz w:val="28"/>
        </w:rPr>
        <w:t>LIST OF SYMBOLS, ABBREVIATIONS AND NOMENCLATURE</w:t>
      </w:r>
    </w:p>
    <w:tbl>
      <w:tblPr>
        <w:tblW w:type="auto" w:w="0"/>
        <w:jc w:val="center"/>
        <w:tblLook w:firstColumn="1" w:firstRow="1" w:lastColumn="0" w:lastRow="0" w:noHBand="0" w:noVBand="1" w:val="04A0"/>
      </w:tblPr>
      <w:tblGrid>
        <w:gridCol w:w="4824"/>
        <w:gridCol w:w="4824"/>
      </w:tblGrid>
      <w:tr>
        <w:tc>
          <w:tcPr>
            <w:tcW w:type="dxa" w:w="4824"/>
            <w:shd w:fill="EAEAEA"/>
            <w:tcMar>
              <w:top w:w="120" w:type="dxa"/>
              <w:bottom w:w="120" w:type="dxa"/>
              <w:left w:w="150" w:type="dxa"/>
              <w:right w:w="150" w:type="dxa"/>
            </w:tcMar>
          </w:tcPr>
          <w:p>
            <w:pPr>
              <w:jc w:val="center"/>
            </w:pPr>
            <w:r>
              <w:rPr>
                <w:rFonts w:ascii="Times New Roman" w:hAnsi="Times New Roman"/>
                <w:b/>
                <w:sz w:val="20"/>
              </w:rPr>
              <w:t>Abbreviation</w:t>
            </w:r>
          </w:p>
        </w:tc>
        <w:tc>
          <w:tcPr>
            <w:tcW w:type="dxa" w:w="4824"/>
            <w:shd w:fill="EAEAEA"/>
            <w:tcMar>
              <w:top w:w="120" w:type="dxa"/>
              <w:bottom w:w="120" w:type="dxa"/>
              <w:left w:w="150" w:type="dxa"/>
              <w:right w:w="150" w:type="dxa"/>
            </w:tcMar>
          </w:tcPr>
          <w:p>
            <w:pPr>
              <w:jc w:val="center"/>
            </w:pPr>
            <w:r>
              <w:rPr>
                <w:rFonts w:ascii="Times New Roman" w:hAnsi="Times New Roman"/>
                <w:b/>
                <w:sz w:val="20"/>
              </w:rPr>
              <w:t>Expanded Terminology</w:t>
            </w:r>
          </w:p>
        </w:tc>
      </w:tr>
      <w:tr>
        <w:tc>
          <w:tcPr>
            <w:tcW w:type="dxa" w:w="4824"/>
            <w:tcMar>
              <w:top w:w="80" w:type="dxa"/>
              <w:bottom w:w="80" w:type="dxa"/>
              <w:left w:w="150" w:type="dxa"/>
              <w:right w:w="150" w:type="dxa"/>
            </w:tcMar>
          </w:tcPr>
          <w:p>
            <w:pPr>
              <w:spacing w:line="276" w:lineRule="auto" w:after="40"/>
            </w:pPr>
            <w:r>
              <w:rPr>
                <w:rFonts w:ascii="Times New Roman" w:hAnsi="Times New Roman"/>
                <w:sz w:val="19"/>
              </w:rPr>
              <w:t>AI</w:t>
            </w:r>
          </w:p>
        </w:tc>
        <w:tc>
          <w:tcPr>
            <w:tcW w:type="dxa" w:w="4824"/>
            <w:tcMar>
              <w:top w:w="80" w:type="dxa"/>
              <w:bottom w:w="80" w:type="dxa"/>
              <w:left w:w="150" w:type="dxa"/>
              <w:right w:w="150" w:type="dxa"/>
            </w:tcMar>
          </w:tcPr>
          <w:p>
            <w:pPr>
              <w:spacing w:line="276" w:lineRule="auto" w:after="40"/>
            </w:pPr>
            <w:r>
              <w:rPr>
                <w:rFonts w:ascii="Times New Roman" w:hAnsi="Times New Roman"/>
                <w:sz w:val="19"/>
              </w:rPr>
              <w:t>Artificial Intelligence</w:t>
            </w:r>
          </w:p>
        </w:tc>
      </w:tr>
      <w:tr>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API</w:t>
            </w:r>
          </w:p>
        </w:tc>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Application Programming Interface</w:t>
            </w:r>
          </w:p>
        </w:tc>
      </w:tr>
      <w:tr>
        <w:tc>
          <w:tcPr>
            <w:tcW w:type="dxa" w:w="4824"/>
            <w:tcMar>
              <w:top w:w="80" w:type="dxa"/>
              <w:bottom w:w="80" w:type="dxa"/>
              <w:left w:w="150" w:type="dxa"/>
              <w:right w:w="150" w:type="dxa"/>
            </w:tcMar>
          </w:tcPr>
          <w:p>
            <w:pPr>
              <w:spacing w:line="276" w:lineRule="auto" w:after="40"/>
            </w:pPr>
            <w:r>
              <w:rPr>
                <w:rFonts w:ascii="Times New Roman" w:hAnsi="Times New Roman"/>
                <w:sz w:val="19"/>
              </w:rPr>
              <w:t>ASR</w:t>
            </w:r>
          </w:p>
        </w:tc>
        <w:tc>
          <w:tcPr>
            <w:tcW w:type="dxa" w:w="4824"/>
            <w:tcMar>
              <w:top w:w="80" w:type="dxa"/>
              <w:bottom w:w="80" w:type="dxa"/>
              <w:left w:w="150" w:type="dxa"/>
              <w:right w:w="150" w:type="dxa"/>
            </w:tcMar>
          </w:tcPr>
          <w:p>
            <w:pPr>
              <w:spacing w:line="276" w:lineRule="auto" w:after="40"/>
            </w:pPr>
            <w:r>
              <w:rPr>
                <w:rFonts w:ascii="Times New Roman" w:hAnsi="Times New Roman"/>
                <w:sz w:val="19"/>
              </w:rPr>
              <w:t>Automatic Speech Recognition</w:t>
            </w:r>
          </w:p>
        </w:tc>
      </w:tr>
      <w:tr>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CORS</w:t>
            </w:r>
          </w:p>
        </w:tc>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Cross-Origin Resource Sharing</w:t>
            </w:r>
          </w:p>
        </w:tc>
      </w:tr>
      <w:tr>
        <w:tc>
          <w:tcPr>
            <w:tcW w:type="dxa" w:w="4824"/>
            <w:tcMar>
              <w:top w:w="80" w:type="dxa"/>
              <w:bottom w:w="80" w:type="dxa"/>
              <w:left w:w="150" w:type="dxa"/>
              <w:right w:w="150" w:type="dxa"/>
            </w:tcMar>
          </w:tcPr>
          <w:p>
            <w:pPr>
              <w:spacing w:line="276" w:lineRule="auto" w:after="40"/>
            </w:pPr>
            <w:r>
              <w:rPr>
                <w:rFonts w:ascii="Times New Roman" w:hAnsi="Times New Roman"/>
                <w:sz w:val="19"/>
              </w:rPr>
              <w:t>CRUD</w:t>
            </w:r>
          </w:p>
        </w:tc>
        <w:tc>
          <w:tcPr>
            <w:tcW w:type="dxa" w:w="4824"/>
            <w:tcMar>
              <w:top w:w="80" w:type="dxa"/>
              <w:bottom w:w="80" w:type="dxa"/>
              <w:left w:w="150" w:type="dxa"/>
              <w:right w:w="150" w:type="dxa"/>
            </w:tcMar>
          </w:tcPr>
          <w:p>
            <w:pPr>
              <w:spacing w:line="276" w:lineRule="auto" w:after="40"/>
            </w:pPr>
            <w:r>
              <w:rPr>
                <w:rFonts w:ascii="Times New Roman" w:hAnsi="Times New Roman"/>
                <w:sz w:val="19"/>
              </w:rPr>
              <w:t>Create, Read, Update, Delete</w:t>
            </w:r>
          </w:p>
        </w:tc>
      </w:tr>
      <w:tr>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CSS</w:t>
            </w:r>
          </w:p>
        </w:tc>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Cascading Style Sheets</w:t>
            </w:r>
          </w:p>
        </w:tc>
      </w:tr>
      <w:tr>
        <w:tc>
          <w:tcPr>
            <w:tcW w:type="dxa" w:w="4824"/>
            <w:tcMar>
              <w:top w:w="80" w:type="dxa"/>
              <w:bottom w:w="80" w:type="dxa"/>
              <w:left w:w="150" w:type="dxa"/>
              <w:right w:w="150" w:type="dxa"/>
            </w:tcMar>
          </w:tcPr>
          <w:p>
            <w:pPr>
              <w:spacing w:line="276" w:lineRule="auto" w:after="40"/>
            </w:pPr>
            <w:r>
              <w:rPr>
                <w:rFonts w:ascii="Times New Roman" w:hAnsi="Times New Roman"/>
                <w:sz w:val="19"/>
              </w:rPr>
              <w:t>DFD</w:t>
            </w:r>
          </w:p>
        </w:tc>
        <w:tc>
          <w:tcPr>
            <w:tcW w:type="dxa" w:w="4824"/>
            <w:tcMar>
              <w:top w:w="80" w:type="dxa"/>
              <w:bottom w:w="80" w:type="dxa"/>
              <w:left w:w="150" w:type="dxa"/>
              <w:right w:w="150" w:type="dxa"/>
            </w:tcMar>
          </w:tcPr>
          <w:p>
            <w:pPr>
              <w:spacing w:line="276" w:lineRule="auto" w:after="40"/>
            </w:pPr>
            <w:r>
              <w:rPr>
                <w:rFonts w:ascii="Times New Roman" w:hAnsi="Times New Roman"/>
                <w:sz w:val="19"/>
              </w:rPr>
              <w:t>Data Flow Diagram</w:t>
            </w:r>
          </w:p>
        </w:tc>
      </w:tr>
      <w:tr>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ERD</w:t>
            </w:r>
          </w:p>
        </w:tc>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Entity Relationship Diagram</w:t>
            </w:r>
          </w:p>
        </w:tc>
      </w:tr>
      <w:tr>
        <w:tc>
          <w:tcPr>
            <w:tcW w:type="dxa" w:w="4824"/>
            <w:tcMar>
              <w:top w:w="80" w:type="dxa"/>
              <w:bottom w:w="80" w:type="dxa"/>
              <w:left w:w="150" w:type="dxa"/>
              <w:right w:w="150" w:type="dxa"/>
            </w:tcMar>
          </w:tcPr>
          <w:p>
            <w:pPr>
              <w:spacing w:line="276" w:lineRule="auto" w:after="40"/>
            </w:pPr>
            <w:r>
              <w:rPr>
                <w:rFonts w:ascii="Times New Roman" w:hAnsi="Times New Roman"/>
                <w:sz w:val="19"/>
              </w:rPr>
              <w:t>JSON</w:t>
            </w:r>
          </w:p>
        </w:tc>
        <w:tc>
          <w:tcPr>
            <w:tcW w:type="dxa" w:w="4824"/>
            <w:tcMar>
              <w:top w:w="80" w:type="dxa"/>
              <w:bottom w:w="80" w:type="dxa"/>
              <w:left w:w="150" w:type="dxa"/>
              <w:right w:w="150" w:type="dxa"/>
            </w:tcMar>
          </w:tcPr>
          <w:p>
            <w:pPr>
              <w:spacing w:line="276" w:lineRule="auto" w:after="40"/>
            </w:pPr>
            <w:r>
              <w:rPr>
                <w:rFonts w:ascii="Times New Roman" w:hAnsi="Times New Roman"/>
                <w:sz w:val="19"/>
              </w:rPr>
              <w:t>JavaScript Object Notation</w:t>
            </w:r>
          </w:p>
        </w:tc>
      </w:tr>
      <w:tr>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NLP</w:t>
            </w:r>
          </w:p>
        </w:tc>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Natural Language Processing</w:t>
            </w:r>
          </w:p>
        </w:tc>
      </w:tr>
      <w:tr>
        <w:tc>
          <w:tcPr>
            <w:tcW w:type="dxa" w:w="4824"/>
            <w:tcMar>
              <w:top w:w="80" w:type="dxa"/>
              <w:bottom w:w="80" w:type="dxa"/>
              <w:left w:w="150" w:type="dxa"/>
              <w:right w:w="150" w:type="dxa"/>
            </w:tcMar>
          </w:tcPr>
          <w:p>
            <w:pPr>
              <w:spacing w:line="276" w:lineRule="auto" w:after="40"/>
            </w:pPr>
            <w:r>
              <w:rPr>
                <w:rFonts w:ascii="Times New Roman" w:hAnsi="Times New Roman"/>
                <w:sz w:val="19"/>
              </w:rPr>
              <w:t>NLU</w:t>
            </w:r>
          </w:p>
        </w:tc>
        <w:tc>
          <w:tcPr>
            <w:tcW w:type="dxa" w:w="4824"/>
            <w:tcMar>
              <w:top w:w="80" w:type="dxa"/>
              <w:bottom w:w="80" w:type="dxa"/>
              <w:left w:w="150" w:type="dxa"/>
              <w:right w:w="150" w:type="dxa"/>
            </w:tcMar>
          </w:tcPr>
          <w:p>
            <w:pPr>
              <w:spacing w:line="276" w:lineRule="auto" w:after="40"/>
            </w:pPr>
            <w:r>
              <w:rPr>
                <w:rFonts w:ascii="Times New Roman" w:hAnsi="Times New Roman"/>
                <w:sz w:val="19"/>
              </w:rPr>
              <w:t>Natural Language Understanding</w:t>
            </w:r>
          </w:p>
        </w:tc>
      </w:tr>
      <w:tr>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ORM</w:t>
            </w:r>
          </w:p>
        </w:tc>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Object-Relational Mapping</w:t>
            </w:r>
          </w:p>
        </w:tc>
      </w:tr>
      <w:tr>
        <w:tc>
          <w:tcPr>
            <w:tcW w:type="dxa" w:w="4824"/>
            <w:tcMar>
              <w:top w:w="80" w:type="dxa"/>
              <w:bottom w:w="80" w:type="dxa"/>
              <w:left w:w="150" w:type="dxa"/>
              <w:right w:w="150" w:type="dxa"/>
            </w:tcMar>
          </w:tcPr>
          <w:p>
            <w:pPr>
              <w:spacing w:line="276" w:lineRule="auto" w:after="40"/>
            </w:pPr>
            <w:r>
              <w:rPr>
                <w:rFonts w:ascii="Times New Roman" w:hAnsi="Times New Roman"/>
                <w:sz w:val="19"/>
              </w:rPr>
              <w:t>P2P</w:t>
            </w:r>
          </w:p>
        </w:tc>
        <w:tc>
          <w:tcPr>
            <w:tcW w:type="dxa" w:w="4824"/>
            <w:tcMar>
              <w:top w:w="80" w:type="dxa"/>
              <w:bottom w:w="80" w:type="dxa"/>
              <w:left w:w="150" w:type="dxa"/>
              <w:right w:w="150" w:type="dxa"/>
            </w:tcMar>
          </w:tcPr>
          <w:p>
            <w:pPr>
              <w:spacing w:line="276" w:lineRule="auto" w:after="40"/>
            </w:pPr>
            <w:r>
              <w:rPr>
                <w:rFonts w:ascii="Times New Roman" w:hAnsi="Times New Roman"/>
                <w:sz w:val="19"/>
              </w:rPr>
              <w:t>Peer-to-Peer</w:t>
            </w:r>
          </w:p>
        </w:tc>
      </w:tr>
      <w:tr>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P2M</w:t>
            </w:r>
          </w:p>
        </w:tc>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Peer-to-Merchant</w:t>
            </w:r>
          </w:p>
        </w:tc>
      </w:tr>
      <w:tr>
        <w:tc>
          <w:tcPr>
            <w:tcW w:type="dxa" w:w="4824"/>
            <w:tcMar>
              <w:top w:w="80" w:type="dxa"/>
              <w:bottom w:w="80" w:type="dxa"/>
              <w:left w:w="150" w:type="dxa"/>
              <w:right w:w="150" w:type="dxa"/>
            </w:tcMar>
          </w:tcPr>
          <w:p>
            <w:pPr>
              <w:spacing w:line="276" w:lineRule="auto" w:after="40"/>
            </w:pPr>
            <w:r>
              <w:rPr>
                <w:rFonts w:ascii="Times New Roman" w:hAnsi="Times New Roman"/>
                <w:sz w:val="19"/>
              </w:rPr>
              <w:t>REST</w:t>
            </w:r>
          </w:p>
        </w:tc>
        <w:tc>
          <w:tcPr>
            <w:tcW w:type="dxa" w:w="4824"/>
            <w:tcMar>
              <w:top w:w="80" w:type="dxa"/>
              <w:bottom w:w="80" w:type="dxa"/>
              <w:left w:w="150" w:type="dxa"/>
              <w:right w:w="150" w:type="dxa"/>
            </w:tcMar>
          </w:tcPr>
          <w:p>
            <w:pPr>
              <w:spacing w:line="276" w:lineRule="auto" w:after="40"/>
            </w:pPr>
            <w:r>
              <w:rPr>
                <w:rFonts w:ascii="Times New Roman" w:hAnsi="Times New Roman"/>
                <w:sz w:val="19"/>
              </w:rPr>
              <w:t>Representational State Transfer</w:t>
            </w:r>
          </w:p>
        </w:tc>
      </w:tr>
      <w:tr>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SQL</w:t>
            </w:r>
          </w:p>
        </w:tc>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Structured Query Language</w:t>
            </w:r>
          </w:p>
        </w:tc>
      </w:tr>
      <w:tr>
        <w:tc>
          <w:tcPr>
            <w:tcW w:type="dxa" w:w="4824"/>
            <w:tcMar>
              <w:top w:w="80" w:type="dxa"/>
              <w:bottom w:w="80" w:type="dxa"/>
              <w:left w:w="150" w:type="dxa"/>
              <w:right w:w="150" w:type="dxa"/>
            </w:tcMar>
          </w:tcPr>
          <w:p>
            <w:pPr>
              <w:spacing w:line="276" w:lineRule="auto" w:after="40"/>
            </w:pPr>
            <w:r>
              <w:rPr>
                <w:rFonts w:ascii="Times New Roman" w:hAnsi="Times New Roman"/>
                <w:sz w:val="19"/>
              </w:rPr>
              <w:t>TTS</w:t>
            </w:r>
          </w:p>
        </w:tc>
        <w:tc>
          <w:tcPr>
            <w:tcW w:type="dxa" w:w="4824"/>
            <w:tcMar>
              <w:top w:w="80" w:type="dxa"/>
              <w:bottom w:w="80" w:type="dxa"/>
              <w:left w:w="150" w:type="dxa"/>
              <w:right w:w="150" w:type="dxa"/>
            </w:tcMar>
          </w:tcPr>
          <w:p>
            <w:pPr>
              <w:spacing w:line="276" w:lineRule="auto" w:after="40"/>
            </w:pPr>
            <w:r>
              <w:rPr>
                <w:rFonts w:ascii="Times New Roman" w:hAnsi="Times New Roman"/>
                <w:sz w:val="19"/>
              </w:rPr>
              <w:t>Text-to-Speech</w:t>
            </w:r>
          </w:p>
        </w:tc>
      </w:tr>
      <w:tr>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UI</w:t>
            </w:r>
          </w:p>
        </w:tc>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User Interface</w:t>
            </w:r>
          </w:p>
        </w:tc>
      </w:tr>
      <w:tr>
        <w:tc>
          <w:tcPr>
            <w:tcW w:type="dxa" w:w="4824"/>
            <w:tcMar>
              <w:top w:w="80" w:type="dxa"/>
              <w:bottom w:w="80" w:type="dxa"/>
              <w:left w:w="150" w:type="dxa"/>
              <w:right w:w="150" w:type="dxa"/>
            </w:tcMar>
          </w:tcPr>
          <w:p>
            <w:pPr>
              <w:spacing w:line="276" w:lineRule="auto" w:after="40"/>
            </w:pPr>
            <w:r>
              <w:rPr>
                <w:rFonts w:ascii="Times New Roman" w:hAnsi="Times New Roman"/>
                <w:sz w:val="19"/>
              </w:rPr>
              <w:t>UPI</w:t>
            </w:r>
          </w:p>
        </w:tc>
        <w:tc>
          <w:tcPr>
            <w:tcW w:type="dxa" w:w="4824"/>
            <w:tcMar>
              <w:top w:w="80" w:type="dxa"/>
              <w:bottom w:w="80" w:type="dxa"/>
              <w:left w:w="150" w:type="dxa"/>
              <w:right w:w="150" w:type="dxa"/>
            </w:tcMar>
          </w:tcPr>
          <w:p>
            <w:pPr>
              <w:spacing w:line="276" w:lineRule="auto" w:after="40"/>
            </w:pPr>
            <w:r>
              <w:rPr>
                <w:rFonts w:ascii="Times New Roman" w:hAnsi="Times New Roman"/>
                <w:sz w:val="19"/>
              </w:rPr>
              <w:t>Unified Payments Interface</w:t>
            </w:r>
          </w:p>
        </w:tc>
      </w:tr>
      <w:tr>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UX</w:t>
            </w:r>
          </w:p>
        </w:tc>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User Experience</w:t>
            </w:r>
          </w:p>
        </w:tc>
      </w:tr>
      <w:tr>
        <w:tc>
          <w:tcPr>
            <w:tcW w:type="dxa" w:w="4824"/>
            <w:tcMar>
              <w:top w:w="80" w:type="dxa"/>
              <w:bottom w:w="80" w:type="dxa"/>
              <w:left w:w="150" w:type="dxa"/>
              <w:right w:w="150" w:type="dxa"/>
            </w:tcMar>
          </w:tcPr>
          <w:p>
            <w:pPr>
              <w:spacing w:line="276" w:lineRule="auto" w:after="40"/>
            </w:pPr>
            <w:r>
              <w:rPr>
                <w:rFonts w:ascii="Times New Roman" w:hAnsi="Times New Roman"/>
                <w:sz w:val="19"/>
              </w:rPr>
              <w:t>Vite</w:t>
            </w:r>
          </w:p>
        </w:tc>
        <w:tc>
          <w:tcPr>
            <w:tcW w:type="dxa" w:w="4824"/>
            <w:tcMar>
              <w:top w:w="80" w:type="dxa"/>
              <w:bottom w:w="80" w:type="dxa"/>
              <w:left w:w="150" w:type="dxa"/>
              <w:right w:w="150" w:type="dxa"/>
            </w:tcMar>
          </w:tcPr>
          <w:p>
            <w:pPr>
              <w:spacing w:line="276" w:lineRule="auto" w:after="40"/>
            </w:pPr>
            <w:r>
              <w:rPr>
                <w:rFonts w:ascii="Times New Roman" w:hAnsi="Times New Roman"/>
                <w:sz w:val="19"/>
              </w:rPr>
              <w:t>Next Generation Frontend Tooling</w:t>
            </w:r>
          </w:p>
        </w:tc>
      </w:tr>
      <w:tr>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WMA</w:t>
            </w:r>
          </w:p>
        </w:tc>
        <w:tc>
          <w:tcPr>
            <w:tcW w:type="dxa" w:w="4824"/>
            <w:tcMar>
              <w:top w:w="80" w:type="dxa"/>
              <w:bottom w:w="80" w:type="dxa"/>
              <w:left w:w="150" w:type="dxa"/>
              <w:right w:w="150" w:type="dxa"/>
            </w:tcMar>
            <w:shd w:fill="F9F9F9"/>
          </w:tcPr>
          <w:p>
            <w:pPr>
              <w:spacing w:line="276" w:lineRule="auto" w:after="40"/>
            </w:pPr>
            <w:r>
              <w:rPr>
                <w:rFonts w:ascii="Times New Roman" w:hAnsi="Times New Roman"/>
                <w:sz w:val="19"/>
              </w:rPr>
              <w:t>Weighted Moving Average</w:t>
            </w:r>
          </w:p>
        </w:tc>
      </w:tr>
    </w:tbl>
    <w:p>
      <w:pPr>
        <w:spacing w:after="80"/>
      </w:pPr>
    </w:p>
    <w:p>
      <w:r>
        <w:br w:type="page"/>
      </w:r>
    </w:p>
    <w:p>
      <w:pPr>
        <w:pStyle w:val="Heading1"/>
        <w:spacing w:before="280" w:after="120"/>
      </w:pPr>
      <w:r>
        <w:t>CHAPTER 1</w:t>
        <w:br/>
        <w:t>INTRODUCTION</w:t>
      </w:r>
    </w:p>
    <w:p>
      <w:pPr>
        <w:pStyle w:val="Heading2"/>
        <w:spacing w:before="200" w:after="80"/>
      </w:pPr>
      <w:r>
        <w:t>1.1 Background</w:t>
      </w:r>
    </w:p>
    <w:p>
      <w:pPr>
        <w:spacing w:after="80" w:before="0" w:line="324" w:lineRule="auto"/>
        <w:jc w:val="both"/>
      </w:pPr>
      <w:r>
        <w:rPr>
          <w:rFonts w:ascii="Times New Roman" w:hAnsi="Times New Roman"/>
          <w:b w:val="0"/>
          <w:i w:val="0"/>
          <w:sz w:val="24"/>
        </w:rPr>
        <w:t>Over the past decade, rapid digitization and the proliferation of smartphone applications have revolutionized the financial ecosystem. In emerging economies like India, Unified Payments Interface (UPI) and digital wallets such as Google Pay, Paytm, PhonePe, and Amazon Pay process tens of billions of transactions monthly. Payments that formerly required liquid cash, paper receipts, or bank counters are now executed with instantaneous QR scans, biometric authorizations, and contactless taps. However, while digital wallets have maximized payment speed and convenience, their software designs remain almost exclusively transactional rather than advisory.</w:t>
      </w:r>
    </w:p>
    <w:p>
      <w:pPr>
        <w:spacing w:after="80" w:before="0" w:line="324" w:lineRule="auto"/>
        <w:jc w:val="both"/>
      </w:pPr>
      <w:r>
        <w:rPr>
          <w:rFonts w:ascii="Times New Roman" w:hAnsi="Times New Roman"/>
          <w:b w:val="0"/>
          <w:i w:val="0"/>
          <w:sz w:val="24"/>
        </w:rPr>
        <w:t>Users frequently utilize multiple digital wallets concurrently—using Google Pay for peer transfers, Paytm for local groceries, PhonePe for electricity utilities, and Amazon Pay for online shopping. This fragmentation results in scattered transactional histories. Existing wallet apps furnish simple chronologically sorted passbooks that fail to answer basic financial queries: How much of my monthly income remains for discretionary spend? Am I exhausting my budget prematurely? Are there recurring subscription leaks or duplicate debits? Consequently, users experience fiscal opacity, leading to unconscious overspending and budgetary distress.</w:t>
      </w:r>
    </w:p>
    <w:p>
      <w:pPr>
        <w:pStyle w:val="Heading2"/>
        <w:spacing w:before="200" w:after="80"/>
      </w:pPr>
      <w:r>
        <w:t>1.2 Project Overview</w:t>
      </w:r>
    </w:p>
    <w:p>
      <w:pPr>
        <w:spacing w:after="80" w:before="0" w:line="324" w:lineRule="auto"/>
        <w:jc w:val="both"/>
      </w:pPr>
      <w:r>
        <w:rPr>
          <w:rFonts w:ascii="Times New Roman" w:hAnsi="Times New Roman"/>
          <w:b w:val="0"/>
          <w:i w:val="0"/>
          <w:sz w:val="24"/>
        </w:rPr>
        <w:t>FinAI Wallet Analyzer is an intelligent financial management platform specifically designed to bridge the gap between raw payment logs and actionable financial wisdom. By leveraging rule-based Natural Language Processing (NLP), statistical forecasting heuristics, anomaly detection, and modern web speech capabilities, FinAI transforms disparate transactional records into a consolidated, real-time fiscal telemetry dashboard.</w:t>
      </w:r>
    </w:p>
    <w:p>
      <w:pPr>
        <w:spacing w:after="80" w:before="0" w:line="324" w:lineRule="auto"/>
        <w:jc w:val="both"/>
      </w:pPr>
      <w:r>
        <w:rPr>
          <w:rFonts w:ascii="Times New Roman" w:hAnsi="Times New Roman"/>
          <w:b w:val="0"/>
          <w:i w:val="0"/>
          <w:sz w:val="24"/>
        </w:rPr>
        <w:t>The system aggregates outlays across all prominent digital wallets, classifies transactions automatically into meaningful categories (such as Groceries &amp; Supermarket, Food &amp; Dining, Travel &amp; Commute, Utilities &amp; Bills, and Investments), computes instantaneous burnout rates, projects month-end financial trajectories, alerts users to suspicious night-time or abnormal transactions, and allows full hands-free transaction logging and inquiries via an AI Voice Assistant.</w:t>
      </w:r>
    </w:p>
    <w:p>
      <w:pPr>
        <w:pStyle w:val="Heading2"/>
        <w:spacing w:before="200" w:after="80"/>
      </w:pPr>
      <w:r>
        <w:t>1.3 Motivation</w:t>
      </w:r>
    </w:p>
    <w:p>
      <w:pPr>
        <w:spacing w:after="80" w:before="0" w:line="324" w:lineRule="auto"/>
        <w:jc w:val="both"/>
      </w:pPr>
      <w:r>
        <w:rPr>
          <w:rFonts w:ascii="Times New Roman" w:hAnsi="Times New Roman"/>
          <w:b w:val="0"/>
          <w:i w:val="0"/>
          <w:sz w:val="24"/>
        </w:rPr>
        <w:t>The motivation behind engineering the FinAI Wallet Analyzer stems from observing the profound disconnect between modern consumer spending velocity and consumer financial awareness. While payment friction has been reduced to near zero, personal accounting friction has remained persistently high. Manually entering expenses into traditional spreadsheets or dedicated budget apps is tedious, error-prone, and unsustainable for most individuals. What users need is an automated, zero-effort intelligent assistant that watches over their transactions, autonomously categorizes every rupee, guards against anomalous leakages, and provides simple, plain-language guidance like: 'You can safely spend ₹450 today without exceeding your month-end budget.'</w:t>
      </w:r>
    </w:p>
    <w:p>
      <w:pPr>
        <w:pStyle w:val="Heading2"/>
        <w:spacing w:before="200" w:after="80"/>
      </w:pPr>
      <w:r>
        <w:t>1.4 Objectives</w:t>
      </w:r>
    </w:p>
    <w:p>
      <w:pPr>
        <w:spacing w:after="80" w:before="0" w:line="324" w:lineRule="auto"/>
        <w:jc w:val="both"/>
      </w:pPr>
      <w:r>
        <w:rPr>
          <w:rFonts w:ascii="Times New Roman" w:hAnsi="Times New Roman"/>
          <w:b w:val="0"/>
          <w:i w:val="0"/>
          <w:sz w:val="24"/>
        </w:rPr>
        <w:t>The primary engineering and functional objectives of FinAI Wallet Analyzer include:</w:t>
      </w:r>
    </w:p>
    <w:p>
      <w:pPr>
        <w:spacing w:after="40" w:before="0" w:line="324" w:lineRule="auto"/>
        <w:jc w:val="both"/>
      </w:pPr>
      <w:r>
        <w:rPr>
          <w:rFonts w:ascii="Times New Roman" w:hAnsi="Times New Roman"/>
          <w:b w:val="0"/>
          <w:i w:val="0"/>
          <w:sz w:val="24"/>
        </w:rPr>
        <w:t>1. Centralized Multi-Wallet Aggregation: Providing a unified repository and comparative analysis interface across Google Pay, PhonePe, Paytm, Amazon Pay, Apple Pay, and Cred.</w:t>
      </w:r>
    </w:p>
    <w:p>
      <w:pPr>
        <w:spacing w:after="40" w:before="0" w:line="324" w:lineRule="auto"/>
        <w:jc w:val="both"/>
      </w:pPr>
      <w:r>
        <w:rPr>
          <w:rFonts w:ascii="Times New Roman" w:hAnsi="Times New Roman"/>
          <w:b w:val="0"/>
          <w:i w:val="0"/>
          <w:sz w:val="24"/>
        </w:rPr>
        <w:t>2. Autonomous NLP Expense Categorization: Accurately mapping raw merchant strings to eight standardized spending categories and necessity classifications (Need vs. Want) without manual tagging.</w:t>
      </w:r>
    </w:p>
    <w:p>
      <w:pPr>
        <w:spacing w:after="40" w:before="0" w:line="324" w:lineRule="auto"/>
        <w:jc w:val="both"/>
      </w:pPr>
      <w:r>
        <w:rPr>
          <w:rFonts w:ascii="Times New Roman" w:hAnsi="Times New Roman"/>
          <w:b w:val="0"/>
          <w:i w:val="0"/>
          <w:sz w:val="24"/>
        </w:rPr>
        <w:t>3. Real-Time Anomaly &amp; Fraud Risk Scoring: Identifying suspicious debit activities (e.g. late-night foreign transactions, rapid duplicates, anomalous sums) and tagging them with Low, Medium, or High risk flags.</w:t>
      </w:r>
    </w:p>
    <w:p>
      <w:pPr>
        <w:spacing w:after="40" w:before="0" w:line="324" w:lineRule="auto"/>
        <w:jc w:val="both"/>
      </w:pPr>
      <w:r>
        <w:rPr>
          <w:rFonts w:ascii="Times New Roman" w:hAnsi="Times New Roman"/>
          <w:b w:val="0"/>
          <w:i w:val="0"/>
          <w:sz w:val="24"/>
        </w:rPr>
        <w:t>4. Predictive Month-End Forecaster &amp; Safe Spend Quota: Applying burn-rate statistical algorithms to calculate dynamic daily safe-spending limits and project month-end deficit/surplus trajectories.</w:t>
      </w:r>
    </w:p>
    <w:p>
      <w:pPr>
        <w:spacing w:after="40" w:before="0" w:line="324" w:lineRule="auto"/>
        <w:jc w:val="both"/>
      </w:pPr>
      <w:r>
        <w:rPr>
          <w:rFonts w:ascii="Times New Roman" w:hAnsi="Times New Roman"/>
          <w:b w:val="0"/>
          <w:i w:val="0"/>
          <w:sz w:val="24"/>
        </w:rPr>
        <w:t>5. Multimodal Voice Interaction: Implementing an AI Voice Assistant utilizing the Web Speech API and spoken entity extraction to support voice-activated transaction entry and financial queries.</w:t>
      </w:r>
    </w:p>
    <w:p>
      <w:pPr>
        <w:spacing w:after="40" w:before="0" w:line="324" w:lineRule="auto"/>
        <w:jc w:val="both"/>
      </w:pPr>
      <w:r>
        <w:rPr>
          <w:rFonts w:ascii="Times New Roman" w:hAnsi="Times New Roman"/>
          <w:b w:val="0"/>
          <w:i w:val="0"/>
          <w:sz w:val="24"/>
        </w:rPr>
        <w:t>6. Budget and Scheduled Bill Surveillance: Providing category-wise ceiling trackers, progress gauges, and proactive reminder alerts for recurring utility bills.</w:t>
      </w:r>
    </w:p>
    <w:p>
      <w:pPr>
        <w:spacing w:after="40" w:before="0" w:line="324" w:lineRule="auto"/>
        <w:jc w:val="both"/>
      </w:pPr>
      <w:r>
        <w:rPr>
          <w:rFonts w:ascii="Times New Roman" w:hAnsi="Times New Roman"/>
          <w:b w:val="0"/>
          <w:i w:val="0"/>
          <w:sz w:val="24"/>
        </w:rPr>
        <w:t>7. Resilient Dual-Mode Architecture: Implementing a client-side database engine (clientEngine.js) ensuring complete zero-server operational continuity and instant web deployment on GitHub Pages.</w:t>
      </w:r>
    </w:p>
    <w:p>
      <w:pPr>
        <w:pStyle w:val="Heading2"/>
        <w:spacing w:before="200" w:after="80"/>
      </w:pPr>
      <w:r>
        <w:t>1.5 Scope</w:t>
      </w:r>
    </w:p>
    <w:p>
      <w:pPr>
        <w:spacing w:after="80" w:before="0" w:line="324" w:lineRule="auto"/>
        <w:jc w:val="both"/>
      </w:pPr>
      <w:r>
        <w:rPr>
          <w:rFonts w:ascii="Times New Roman" w:hAnsi="Times New Roman"/>
          <w:b w:val="0"/>
          <w:i w:val="0"/>
          <w:sz w:val="24"/>
        </w:rPr>
        <w:t>The scope of FinAI Wallet Analyzer encompasses personal financial management, multi-wallet segregation, automated NLP categorization, predictive forecasting, anomaly risk auditing, voice assistant processing, and responsive cross-platform web delivery. The solution caters to students, working professionals, and household budget managers who seek automated clarity over their digital finances without requiring accounting expertise.</w:t>
      </w:r>
    </w:p>
    <w:p>
      <w:pPr>
        <w:spacing w:before="120" w:after="80"/>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image3.jpeg"/>
                    <pic:cNvPicPr/>
                  </pic:nvPicPr>
                  <pic:blipFill>
                    <a:blip r:embed="rId11"/>
                    <a:stretch>
                      <a:fillRect/>
                    </a:stretch>
                  </pic:blipFill>
                  <pic:spPr>
                    <a:xfrm>
                      <a:off x="0" y="0"/>
                      <a:ext cx="5303520" cy="5303520"/>
                    </a:xfrm>
                    <a:prstGeom prst="rect"/>
                  </pic:spPr>
                </pic:pic>
              </a:graphicData>
            </a:graphic>
          </wp:inline>
        </w:drawing>
      </w:r>
    </w:p>
    <w:p>
      <w:pPr>
        <w:spacing w:after="160"/>
        <w:jc w:val="center"/>
      </w:pPr>
      <w:r>
        <w:rPr>
          <w:rFonts w:ascii="Times New Roman" w:hAnsi="Times New Roman"/>
          <w:b/>
          <w:sz w:val="21"/>
        </w:rPr>
        <w:t>Figure 1.1: High-Level Architectural Overview of FinAI Wallet Analyzer</w:t>
      </w:r>
    </w:p>
    <w:p>
      <w:r>
        <w:br w:type="page"/>
      </w:r>
    </w:p>
    <w:p>
      <w:pPr>
        <w:pStyle w:val="Heading1"/>
        <w:spacing w:before="280" w:after="120"/>
      </w:pPr>
      <w:r>
        <w:t>CHAPTER 2</w:t>
        <w:br/>
        <w:t>PROBLEM IDENTIFICATION</w:t>
      </w:r>
    </w:p>
    <w:p>
      <w:pPr>
        <w:pStyle w:val="Heading2"/>
        <w:spacing w:before="200" w:after="80"/>
      </w:pPr>
      <w:r>
        <w:t>2.1 Existing Scenario</w:t>
      </w:r>
    </w:p>
    <w:p>
      <w:pPr>
        <w:spacing w:after="80" w:before="0" w:line="324" w:lineRule="auto"/>
        <w:jc w:val="both"/>
      </w:pPr>
      <w:r>
        <w:rPr>
          <w:rFonts w:ascii="Times New Roman" w:hAnsi="Times New Roman"/>
          <w:b w:val="0"/>
          <w:i w:val="0"/>
          <w:sz w:val="24"/>
        </w:rPr>
        <w:t>In the contemporary digital economy, financial transactions occur predominantly through disparate mobile applications. A typical consumer executes food orders on Swiggy via Google Pay, books cab rides on Uber using Paytm, purchases household essentials on Amazon using Amazon Pay, and settles broadband bills using PhonePe. Although each application logs internal debits, none provides a consolidated overview of aggregate cash flow. The consumer is left with a fragmented financial picture spread across multiple password-protected silos.</w:t>
      </w:r>
    </w:p>
    <w:p>
      <w:pPr>
        <w:pStyle w:val="Heading2"/>
        <w:spacing w:before="200" w:after="80"/>
      </w:pPr>
      <w:r>
        <w:t>2.2 Existing System</w:t>
      </w:r>
    </w:p>
    <w:p>
      <w:pPr>
        <w:spacing w:after="80" w:before="0" w:line="324" w:lineRule="auto"/>
        <w:jc w:val="both"/>
      </w:pPr>
      <w:r>
        <w:rPr>
          <w:rFonts w:ascii="Times New Roman" w:hAnsi="Times New Roman"/>
          <w:b w:val="0"/>
          <w:i w:val="0"/>
          <w:sz w:val="24"/>
        </w:rPr>
        <w:t>Current expense management options rely on two rudimentary paradigms:</w:t>
        <w:br/>
        <w:t>1. Native Wallet Passbooks: Basic lists displaying timestamp, recipient, and amount. These tools lack automatic category tagging, budget variance calculation, forward-looking forecasting, or cross-wallet reconciliation.</w:t>
        <w:br/>
        <w:t>2. Manual Budgeting Apps / Excel Sheets: Third-party applications requiring users to manually input every single transaction. Due to the cognitive load and repetitive effort involved, over 80% of users abandon manual logging within the first month.</w:t>
      </w:r>
    </w:p>
    <w:p>
      <w:pPr>
        <w:pStyle w:val="Heading2"/>
        <w:spacing w:before="200" w:after="80"/>
      </w:pPr>
      <w:r>
        <w:t>2.3 Existing System Drawbacks</w:t>
      </w:r>
    </w:p>
    <w:p>
      <w:pPr>
        <w:spacing w:after="60" w:before="0" w:line="324" w:lineRule="auto"/>
        <w:jc w:val="both"/>
      </w:pPr>
      <w:r>
        <w:rPr>
          <w:rFonts w:ascii="Times New Roman" w:hAnsi="Times New Roman"/>
          <w:b w:val="0"/>
          <w:i w:val="0"/>
          <w:sz w:val="24"/>
        </w:rPr>
        <w:t>• Severe Data Fragmentation: Inability to observe combined spending across Paytm, GPay, Amazon Pay, and PhonePe in one place.</w:t>
      </w:r>
    </w:p>
    <w:p>
      <w:pPr>
        <w:spacing w:after="60" w:before="0" w:line="324" w:lineRule="auto"/>
        <w:jc w:val="both"/>
      </w:pPr>
      <w:r>
        <w:rPr>
          <w:rFonts w:ascii="Times New Roman" w:hAnsi="Times New Roman"/>
          <w:b w:val="0"/>
          <w:i w:val="0"/>
          <w:sz w:val="24"/>
        </w:rPr>
        <w:t>• Absence of Automated Intelligence: No automated recognition of merchant types, leading to zero categorical insight.</w:t>
      </w:r>
    </w:p>
    <w:p>
      <w:pPr>
        <w:spacing w:after="60" w:before="0" w:line="324" w:lineRule="auto"/>
        <w:jc w:val="both"/>
      </w:pPr>
      <w:r>
        <w:rPr>
          <w:rFonts w:ascii="Times New Roman" w:hAnsi="Times New Roman"/>
          <w:b w:val="0"/>
          <w:i w:val="0"/>
          <w:sz w:val="24"/>
        </w:rPr>
        <w:t>• Reactive Rather than Proactive: Existing apps tell you what you spent in the past, but never tell you what you can safely spend today.</w:t>
      </w:r>
    </w:p>
    <w:p>
      <w:pPr>
        <w:spacing w:after="60" w:before="0" w:line="324" w:lineRule="auto"/>
        <w:jc w:val="both"/>
      </w:pPr>
      <w:r>
        <w:rPr>
          <w:rFonts w:ascii="Times New Roman" w:hAnsi="Times New Roman"/>
          <w:b w:val="0"/>
          <w:i w:val="0"/>
          <w:sz w:val="24"/>
        </w:rPr>
        <w:t>• Ineffective Anomaly Detection: Fraudulent, duplicate, or unusual midnight debits go unnoticed until the user reviews monthly bank statements.</w:t>
      </w:r>
    </w:p>
    <w:p>
      <w:pPr>
        <w:spacing w:after="60" w:before="0" w:line="324" w:lineRule="auto"/>
        <w:jc w:val="both"/>
      </w:pPr>
      <w:r>
        <w:rPr>
          <w:rFonts w:ascii="Times New Roman" w:hAnsi="Times New Roman"/>
          <w:b w:val="0"/>
          <w:i w:val="0"/>
          <w:sz w:val="24"/>
        </w:rPr>
        <w:t>• Rigid Typing-Only Interfaces: Absence of conversational voice interfaces to quickly register transactions or query balances on the go.</w:t>
      </w:r>
    </w:p>
    <w:p>
      <w:pPr>
        <w:spacing w:after="60" w:before="0" w:line="324" w:lineRule="auto"/>
        <w:jc w:val="both"/>
      </w:pPr>
      <w:r>
        <w:rPr>
          <w:rFonts w:ascii="Times New Roman" w:hAnsi="Times New Roman"/>
          <w:b w:val="0"/>
          <w:i w:val="0"/>
          <w:sz w:val="24"/>
        </w:rPr>
        <w:t>• Server Dependency &amp; Privacy Exposure: Many commercial apps harvest sensitive banking SMS messages and transmit them to external cloud servers.</w:t>
      </w:r>
    </w:p>
    <w:p>
      <w:pPr>
        <w:pStyle w:val="Heading2"/>
        <w:spacing w:before="200" w:after="80"/>
      </w:pPr>
      <w:r>
        <w:t>2.4 Problem Statement</w:t>
      </w:r>
    </w:p>
    <w:p>
      <w:pPr>
        <w:spacing w:after="80" w:before="0" w:line="324" w:lineRule="auto"/>
        <w:jc w:val="both"/>
      </w:pPr>
      <w:r>
        <w:rPr>
          <w:rFonts w:ascii="Times New Roman" w:hAnsi="Times New Roman"/>
          <w:b w:val="0"/>
          <w:i w:val="0"/>
          <w:sz w:val="24"/>
        </w:rPr>
        <w:t>Modern digital wallet users face severe financial opacity due to multi-app fragmentation, lack of automated expense categorization, absence of predictive liquidity forecasting, and non-existent real-time anomaly auditing. There is an urgent necessity for a centralized, intelligent, and privacy-conscious web application that unifies multi-wallet transactions, categorizes expenses using artificial intelligence, computes predictive month-end runways, and supports conversational voice interaction.</w:t>
      </w:r>
    </w:p>
    <w:p>
      <w:pPr>
        <w:pStyle w:val="Heading2"/>
        <w:spacing w:before="200" w:after="80"/>
      </w:pPr>
      <w:r>
        <w:t>2.5 Proposed Solution: FinAI Wallet Analyzer</w:t>
      </w:r>
    </w:p>
    <w:p>
      <w:pPr>
        <w:spacing w:after="80" w:before="0" w:line="324" w:lineRule="auto"/>
        <w:jc w:val="both"/>
      </w:pPr>
      <w:r>
        <w:rPr>
          <w:rFonts w:ascii="Times New Roman" w:hAnsi="Times New Roman"/>
          <w:b w:val="0"/>
          <w:i w:val="0"/>
          <w:sz w:val="24"/>
        </w:rPr>
        <w:t>FinAI Wallet Analyzer introduces an automated, privacy-first, and intelligent financial management dashboard. By combining rule-based NLP heuristics, statistical weighted moving average forecasting, real-time heuristic anomaly detection, and browser-native speech synthesis and recognition, the platform provides automated fiscal clarity.</w:t>
      </w:r>
    </w:p>
    <w:p>
      <w:pPr>
        <w:spacing w:after="80" w:before="0" w:line="324" w:lineRule="auto"/>
        <w:jc w:val="center"/>
      </w:pPr>
      <w:r>
        <w:rPr>
          <w:rFonts w:ascii="Times New Roman" w:hAnsi="Times New Roman"/>
          <w:b/>
          <w:i w:val="0"/>
          <w:sz w:val="21"/>
        </w:rPr>
        <w:t>Table 2.1: Comparison between Traditional Wallet Logs and FinAI Wallet Analyzer</w:t>
      </w:r>
    </w:p>
    <w:tbl>
      <w:tblPr>
        <w:tblW w:type="auto" w:w="0"/>
        <w:jc w:val="center"/>
        <w:tblLook w:firstColumn="1" w:firstRow="1" w:lastColumn="0" w:lastRow="0" w:noHBand="0" w:noVBand="1" w:val="04A0"/>
      </w:tblPr>
      <w:tblGrid>
        <w:gridCol w:w="2412"/>
        <w:gridCol w:w="2412"/>
        <w:gridCol w:w="2412"/>
        <w:gridCol w:w="2412"/>
      </w:tblGrid>
      <w:tr>
        <w:tc>
          <w:tcPr>
            <w:tcW w:type="dxa" w:w="2412"/>
            <w:shd w:fill="EAEAEA"/>
            <w:tcMar>
              <w:top w:w="120" w:type="dxa"/>
              <w:bottom w:w="120" w:type="dxa"/>
              <w:left w:w="150" w:type="dxa"/>
              <w:right w:w="150" w:type="dxa"/>
            </w:tcMar>
          </w:tcPr>
          <w:p>
            <w:pPr>
              <w:jc w:val="center"/>
            </w:pPr>
            <w:r>
              <w:rPr>
                <w:rFonts w:ascii="Times New Roman" w:hAnsi="Times New Roman"/>
                <w:b/>
                <w:sz w:val="20"/>
              </w:rPr>
              <w:t>S.No</w:t>
            </w:r>
          </w:p>
        </w:tc>
        <w:tc>
          <w:tcPr>
            <w:tcW w:type="dxa" w:w="2412"/>
            <w:shd w:fill="EAEAEA"/>
            <w:tcMar>
              <w:top w:w="120" w:type="dxa"/>
              <w:bottom w:w="120" w:type="dxa"/>
              <w:left w:w="150" w:type="dxa"/>
              <w:right w:w="150" w:type="dxa"/>
            </w:tcMar>
          </w:tcPr>
          <w:p>
            <w:pPr>
              <w:jc w:val="center"/>
            </w:pPr>
            <w:r>
              <w:rPr>
                <w:rFonts w:ascii="Times New Roman" w:hAnsi="Times New Roman"/>
                <w:b/>
                <w:sz w:val="20"/>
              </w:rPr>
              <w:t>Feature Dimension</w:t>
            </w:r>
          </w:p>
        </w:tc>
        <w:tc>
          <w:tcPr>
            <w:tcW w:type="dxa" w:w="2412"/>
            <w:shd w:fill="EAEAEA"/>
            <w:tcMar>
              <w:top w:w="120" w:type="dxa"/>
              <w:bottom w:w="120" w:type="dxa"/>
              <w:left w:w="150" w:type="dxa"/>
              <w:right w:w="150" w:type="dxa"/>
            </w:tcMar>
          </w:tcPr>
          <w:p>
            <w:pPr>
              <w:jc w:val="center"/>
            </w:pPr>
            <w:r>
              <w:rPr>
                <w:rFonts w:ascii="Times New Roman" w:hAnsi="Times New Roman"/>
                <w:b/>
                <w:sz w:val="20"/>
              </w:rPr>
              <w:t>Traditional Wallet Logs</w:t>
            </w:r>
          </w:p>
        </w:tc>
        <w:tc>
          <w:tcPr>
            <w:tcW w:type="dxa" w:w="2412"/>
            <w:shd w:fill="EAEAEA"/>
            <w:tcMar>
              <w:top w:w="120" w:type="dxa"/>
              <w:bottom w:w="120" w:type="dxa"/>
              <w:left w:w="150" w:type="dxa"/>
              <w:right w:w="150" w:type="dxa"/>
            </w:tcMar>
          </w:tcPr>
          <w:p>
            <w:pPr>
              <w:jc w:val="center"/>
            </w:pPr>
            <w:r>
              <w:rPr>
                <w:rFonts w:ascii="Times New Roman" w:hAnsi="Times New Roman"/>
                <w:b/>
                <w:sz w:val="20"/>
              </w:rPr>
              <w:t>FinAI Wallet Analyzer</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1</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Multi-Wallet Aggregation</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Isolated to single app passbook</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Unified multi-app comparison dashboard</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2</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Expense Categorization</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None / Manual text tags</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Autonomous NLP merchant categorization</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3</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Necessity Classification</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Not supported</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Autonomous 'Need vs. Want' segregation</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4</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Spend Forecaster</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No forward-looking intelligence</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Predictive month-end spend &amp; burn-rate runway</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5</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Safe Daily Spend Quota</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Unavailable</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Calculates dynamic safe spend allowance per day</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6</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Fraud &amp; Anomaly Detection</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Basic SMS alerts from bank</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Multi-parameter heuristic risk scoring (0-100)</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7</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Input Modality</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Typing only / Manual form entry</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Multimodal: Keyboard, Click filters &amp; AI Voice</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8</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Voice Assistant Support</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Not supported</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Real-time speech-to-text NLP parsing &amp; TTS</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9</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Budget Ceiling Alerts</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Static or absent</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Live progress tracking with visual breach warnings</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10</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Offline Operability</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Fails without active server</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Dual-mode: Works 100% offline via localStorage</w:t>
            </w:r>
          </w:p>
        </w:tc>
      </w:tr>
    </w:tbl>
    <w:p>
      <w:pPr>
        <w:spacing w:after="80"/>
      </w:pPr>
    </w:p>
    <w:p>
      <w:r>
        <w:br w:type="page"/>
      </w:r>
    </w:p>
    <w:p>
      <w:pPr>
        <w:pStyle w:val="Heading1"/>
        <w:spacing w:before="280" w:after="120"/>
      </w:pPr>
      <w:r>
        <w:t>CHAPTER 3</w:t>
        <w:br/>
        <w:t>EMPATHIZE AND DEFINE</w:t>
      </w:r>
    </w:p>
    <w:p>
      <w:pPr>
        <w:pStyle w:val="Heading2"/>
        <w:spacing w:before="200" w:after="80"/>
      </w:pPr>
      <w:r>
        <w:t>3.1 Empathy Study</w:t>
      </w:r>
    </w:p>
    <w:p>
      <w:pPr>
        <w:spacing w:after="80" w:before="0" w:line="324" w:lineRule="auto"/>
        <w:jc w:val="both"/>
      </w:pPr>
      <w:r>
        <w:rPr>
          <w:rFonts w:ascii="Times New Roman" w:hAnsi="Times New Roman"/>
          <w:b w:val="0"/>
          <w:i w:val="0"/>
          <w:sz w:val="24"/>
        </w:rPr>
        <w:t>To establish a user-centric design foundation, an empathy study was conducted surveying college students, young professionals, and small business freelancers who actively perform between 15 and 80 digital wallet transactions every week. The investigation revealed consistent patterns of anxiety related to month-end financial dry-ups, forgotten recurring bills, and the sheer mental exhaustion of balancing multiple payment apps.</w:t>
      </w:r>
    </w:p>
    <w:p>
      <w:pPr>
        <w:pStyle w:val="Heading2"/>
        <w:spacing w:before="200" w:after="80"/>
      </w:pPr>
      <w:r>
        <w:t>3.2 User Identification</w:t>
      </w:r>
    </w:p>
    <w:p>
      <w:pPr>
        <w:spacing w:after="80" w:before="0" w:line="324" w:lineRule="auto"/>
        <w:jc w:val="both"/>
      </w:pPr>
      <w:r>
        <w:rPr>
          <w:rFonts w:ascii="Times New Roman" w:hAnsi="Times New Roman"/>
          <w:b w:val="0"/>
          <w:i w:val="0"/>
          <w:sz w:val="24"/>
        </w:rPr>
        <w:t>The target user base was categorized into distinct demographic profiles:</w:t>
      </w:r>
    </w:p>
    <w:p>
      <w:pPr>
        <w:spacing w:after="60" w:before="0" w:line="324" w:lineRule="auto"/>
        <w:jc w:val="both"/>
      </w:pPr>
      <w:r>
        <w:rPr>
          <w:rFonts w:ascii="Times New Roman" w:hAnsi="Times New Roman"/>
          <w:b w:val="0"/>
          <w:i w:val="0"/>
          <w:sz w:val="24"/>
        </w:rPr>
        <w:t>• College Students &amp; Young Graduates: Limited monthly pocket money or stipends, heavy discretionary spend on fast food and online shopping, high susceptibility to early-month burnout.</w:t>
      </w:r>
    </w:p>
    <w:p>
      <w:pPr>
        <w:spacing w:after="60" w:before="0" w:line="324" w:lineRule="auto"/>
        <w:jc w:val="both"/>
      </w:pPr>
      <w:r>
        <w:rPr>
          <w:rFonts w:ascii="Times New Roman" w:hAnsi="Times New Roman"/>
          <w:b w:val="0"/>
          <w:i w:val="0"/>
          <w:sz w:val="24"/>
        </w:rPr>
        <w:t>• Salaried Working Professionals: Managing rent, broadband, credit cards, and household provisions across multiple apps; seeking automated categorization without spending hours on accounting.</w:t>
      </w:r>
    </w:p>
    <w:p>
      <w:pPr>
        <w:spacing w:after="80" w:before="0" w:line="324" w:lineRule="auto"/>
        <w:jc w:val="both"/>
      </w:pPr>
      <w:r>
        <w:rPr>
          <w:rFonts w:ascii="Times New Roman" w:hAnsi="Times New Roman"/>
          <w:b w:val="0"/>
          <w:i w:val="0"/>
          <w:sz w:val="24"/>
        </w:rPr>
        <w:t>• Freelancers and Gig Economy Workers: Variable cash inflows requiring rigorous daily safe-spend burn monitoring to maintain positive liquidity.</w:t>
      </w:r>
    </w:p>
    <w:p>
      <w:pPr>
        <w:pStyle w:val="Heading2"/>
        <w:spacing w:before="200" w:after="80"/>
      </w:pPr>
      <w:r>
        <w:t>3.3 Primary Users vs Secondary Users</w:t>
      </w:r>
    </w:p>
    <w:p>
      <w:pPr>
        <w:spacing w:after="40" w:before="0" w:line="324" w:lineRule="auto"/>
        <w:jc w:val="both"/>
      </w:pPr>
      <w:r>
        <w:rPr>
          <w:rFonts w:ascii="Times New Roman" w:hAnsi="Times New Roman"/>
          <w:b w:val="0"/>
          <w:i w:val="0"/>
          <w:sz w:val="24"/>
        </w:rPr>
        <w:t>• Primary Users: Individual digital wallet consumers managing personal expenses, budgeting constraints, and bill tracking.</w:t>
      </w:r>
    </w:p>
    <w:p>
      <w:pPr>
        <w:spacing w:after="80" w:before="0" w:line="324" w:lineRule="auto"/>
        <w:jc w:val="both"/>
      </w:pPr>
      <w:r>
        <w:rPr>
          <w:rFonts w:ascii="Times New Roman" w:hAnsi="Times New Roman"/>
          <w:b w:val="0"/>
          <w:i w:val="0"/>
          <w:sz w:val="24"/>
        </w:rPr>
        <w:t>• Secondary Users: Financial advisors, family budget custodians, and system administrators who review aggregated transaction distributions and verify system health metrics.</w:t>
      </w:r>
    </w:p>
    <w:p>
      <w:pPr>
        <w:pStyle w:val="Heading2"/>
        <w:spacing w:before="200" w:after="80"/>
      </w:pPr>
      <w:r>
        <w:t>3.4 User Needs and Pain Points</w:t>
      </w:r>
    </w:p>
    <w:p>
      <w:pPr>
        <w:spacing w:after="80" w:before="0" w:line="324" w:lineRule="auto"/>
        <w:jc w:val="center"/>
      </w:pPr>
      <w:r>
        <w:rPr>
          <w:rFonts w:ascii="Times New Roman" w:hAnsi="Times New Roman"/>
          <w:b/>
          <w:i w:val="0"/>
          <w:sz w:val="21"/>
        </w:rPr>
        <w:t>Table 3.1: User Pain Points and Proposed Technical Solutions</w:t>
      </w:r>
    </w:p>
    <w:tbl>
      <w:tblPr>
        <w:tblW w:type="auto" w:w="0"/>
        <w:jc w:val="center"/>
        <w:tblLook w:firstColumn="1" w:firstRow="1" w:lastColumn="0" w:lastRow="0" w:noHBand="0" w:noVBand="1" w:val="04A0"/>
      </w:tblPr>
      <w:tblGrid>
        <w:gridCol w:w="3216"/>
        <w:gridCol w:w="3216"/>
        <w:gridCol w:w="3216"/>
      </w:tblGrid>
      <w:tr>
        <w:tc>
          <w:tcPr>
            <w:tcW w:type="dxa" w:w="3216"/>
            <w:shd w:fill="EAEAEA"/>
            <w:tcMar>
              <w:top w:w="120" w:type="dxa"/>
              <w:bottom w:w="120" w:type="dxa"/>
              <w:left w:w="150" w:type="dxa"/>
              <w:right w:w="150" w:type="dxa"/>
            </w:tcMar>
          </w:tcPr>
          <w:p>
            <w:pPr>
              <w:jc w:val="center"/>
            </w:pPr>
            <w:r>
              <w:rPr>
                <w:rFonts w:ascii="Times New Roman" w:hAnsi="Times New Roman"/>
                <w:b/>
                <w:sz w:val="20"/>
              </w:rPr>
              <w:t>S.No</w:t>
            </w:r>
          </w:p>
        </w:tc>
        <w:tc>
          <w:tcPr>
            <w:tcW w:type="dxa" w:w="3216"/>
            <w:shd w:fill="EAEAEA"/>
            <w:tcMar>
              <w:top w:w="120" w:type="dxa"/>
              <w:bottom w:w="120" w:type="dxa"/>
              <w:left w:w="150" w:type="dxa"/>
              <w:right w:w="150" w:type="dxa"/>
            </w:tcMar>
          </w:tcPr>
          <w:p>
            <w:pPr>
              <w:jc w:val="center"/>
            </w:pPr>
            <w:r>
              <w:rPr>
                <w:rFonts w:ascii="Times New Roman" w:hAnsi="Times New Roman"/>
                <w:b/>
                <w:sz w:val="20"/>
              </w:rPr>
              <w:t>User Pain Point</w:t>
            </w:r>
          </w:p>
        </w:tc>
        <w:tc>
          <w:tcPr>
            <w:tcW w:type="dxa" w:w="3216"/>
            <w:shd w:fill="EAEAEA"/>
            <w:tcMar>
              <w:top w:w="120" w:type="dxa"/>
              <w:bottom w:w="120" w:type="dxa"/>
              <w:left w:w="150" w:type="dxa"/>
              <w:right w:w="150" w:type="dxa"/>
            </w:tcMar>
          </w:tcPr>
          <w:p>
            <w:pPr>
              <w:jc w:val="center"/>
            </w:pPr>
            <w:r>
              <w:rPr>
                <w:rFonts w:ascii="Times New Roman" w:hAnsi="Times New Roman"/>
                <w:b/>
                <w:sz w:val="20"/>
              </w:rPr>
              <w:t>Proposed Technical Solution</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No consolidated view of fragmented digital wallets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Centralized multi-wallet comparative telemetry view</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2</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Tedious manual categorization of daily payments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NLP keyword matching engine classifying 150+ merchants</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3</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Surprise at exhausting monthly allowance too early</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Burn-rate runway algorithm with real-time safe spend quota</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4</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Late-night suspicious debits or duplicate charges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Anomaly scoring module checking time, volume, and merchant risk</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5</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Forgetting recurring utility bills (broadband, power)</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Scheduled bill tracker with direct payment app deep-links</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6</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Inconvenience of typing while traveling or walking</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Hands-free voice assistant with Web Speech ASR &amp; NLP parser</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7</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Fear of cloud data breaches exposing banking logs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Client-side localized storage architecture with zero tracking</w:t>
            </w:r>
          </w:p>
        </w:tc>
      </w:tr>
    </w:tbl>
    <w:p>
      <w:pPr>
        <w:spacing w:after="80"/>
      </w:pPr>
    </w:p>
    <w:p>
      <w:pPr>
        <w:pStyle w:val="Heading2"/>
        <w:spacing w:before="200" w:after="80"/>
      </w:pPr>
      <w:r>
        <w:t>3.5 User Persona: Priya Sharma (22, Software Trainee)</w:t>
      </w:r>
    </w:p>
    <w:p>
      <w:pPr>
        <w:spacing w:after="80" w:before="0" w:line="324" w:lineRule="auto"/>
        <w:jc w:val="both"/>
      </w:pPr>
      <w:r>
        <w:rPr>
          <w:rFonts w:ascii="Times New Roman" w:hAnsi="Times New Roman"/>
          <w:b w:val="0"/>
          <w:i w:val="0"/>
          <w:sz w:val="24"/>
        </w:rPr>
        <w:t>Priya earns ₹35,000 monthly. She pays rent via Google Pay, orders lunches via Swiggy on Paytm, purchases cosmetics on Amazon Pay, and travels via Uber on Google Pay. By the 18th of every month, she finds her bank balance depleted without understanding where her money went. She desires an intuitive dashboard where she can speak: 'I paid 450 to Swiggy', immediately see her dining allowance updated, and know exactly how many rupees she can spend for the rest of the day without borrowing from colleagues.</w:t>
      </w:r>
    </w:p>
    <w:p>
      <w:pPr>
        <w:pStyle w:val="Heading2"/>
        <w:spacing w:before="200" w:after="80"/>
      </w:pPr>
      <w:r>
        <w:t>3.6 Refined Problem Definition</w:t>
      </w:r>
    </w:p>
    <w:p>
      <w:pPr>
        <w:spacing w:after="80" w:before="0" w:line="324" w:lineRule="auto"/>
        <w:jc w:val="both"/>
      </w:pPr>
      <w:r>
        <w:rPr>
          <w:rFonts w:ascii="Times New Roman" w:hAnsi="Times New Roman"/>
          <w:b w:val="0"/>
          <w:i w:val="0"/>
          <w:sz w:val="24"/>
        </w:rPr>
        <w:t>How might we engineer an autonomous, multi-wallet personal finance application that automatically aggregates and categorizes transactions, dynamically predicts month-end budgetary trajectories, detects fraudulent debits, and provides hands-free voice logging, thereby granting consumers complete financial transparency and stress-free budgeting?</w:t>
      </w:r>
    </w:p>
    <w:p>
      <w:r>
        <w:br w:type="page"/>
      </w:r>
    </w:p>
    <w:p>
      <w:pPr>
        <w:pStyle w:val="Heading1"/>
        <w:spacing w:before="280" w:after="120"/>
      </w:pPr>
      <w:r>
        <w:t>CHAPTER 4</w:t>
        <w:br/>
        <w:t>IDEATION</w:t>
      </w:r>
    </w:p>
    <w:p>
      <w:pPr>
        <w:pStyle w:val="Heading2"/>
        <w:spacing w:before="200" w:after="80"/>
      </w:pPr>
      <w:r>
        <w:t>4.1 Idea Generation and Brainstorming</w:t>
      </w:r>
    </w:p>
    <w:p>
      <w:pPr>
        <w:spacing w:after="80" w:before="0" w:line="324" w:lineRule="auto"/>
        <w:jc w:val="both"/>
      </w:pPr>
      <w:r>
        <w:rPr>
          <w:rFonts w:ascii="Times New Roman" w:hAnsi="Times New Roman"/>
          <w:b w:val="0"/>
          <w:i w:val="0"/>
          <w:sz w:val="24"/>
        </w:rPr>
        <w:t>During the ideation phase, various architectural concepts were brainstormed. The team evaluated alternatives ranging from heavyweight native mobile apps requiring SMS scraping permissions, to complex cloud-hosted banking aggregators requiring bank API logins, to lightweight privacy-first web dashboards.</w:t>
      </w:r>
    </w:p>
    <w:p>
      <w:pPr>
        <w:pStyle w:val="Heading2"/>
        <w:spacing w:before="200" w:after="80"/>
      </w:pPr>
      <w:r>
        <w:t>4.2 Evaluation of Alternatives</w:t>
      </w:r>
    </w:p>
    <w:p>
      <w:pPr>
        <w:spacing w:after="80" w:before="0" w:line="324" w:lineRule="auto"/>
        <w:jc w:val="both"/>
      </w:pPr>
      <w:r>
        <w:rPr>
          <w:rFonts w:ascii="Times New Roman" w:hAnsi="Times New Roman"/>
          <w:b w:val="0"/>
          <w:i w:val="0"/>
          <w:sz w:val="24"/>
        </w:rPr>
        <w:t>1. SMS-Scraping Android Application: While automatic, SMS scraping introduces severe privacy vulnerabilities, Google Play policy restrictions, and platform incompatibility on iOS and web browsers.</w:t>
        <w:br/>
        <w:t>2. Traditional Cloud-Hosted SaaS: Demanded expensive server subscriptions and raised user mistrust regarding third-party financial database storage.</w:t>
        <w:br/>
        <w:t>3. Decoupled Web Architecture with Local Intelligence: A modern React web dashboard coupled with a lightweight FastAPI backend and client-side fallback storage. This selected approach eliminates privacy risks, works on any modern device, allows instant voice recognition via browser APIs, and requires zero subscription costs.</w:t>
      </w:r>
    </w:p>
    <w:p>
      <w:pPr>
        <w:pStyle w:val="Heading2"/>
        <w:spacing w:before="200" w:after="80"/>
      </w:pPr>
      <w:r>
        <w:t>4.3 Selected Concept and Key Features</w:t>
      </w:r>
    </w:p>
    <w:p>
      <w:pPr>
        <w:spacing w:after="80" w:before="0" w:line="324" w:lineRule="auto"/>
        <w:jc w:val="both"/>
      </w:pPr>
      <w:r>
        <w:rPr>
          <w:rFonts w:ascii="Times New Roman" w:hAnsi="Times New Roman"/>
          <w:b w:val="0"/>
          <w:i w:val="0"/>
          <w:sz w:val="24"/>
        </w:rPr>
        <w:t>The selected concept, FinAI Wallet Analyzer, integrates six core feature pillars:</w:t>
      </w:r>
    </w:p>
    <w:p>
      <w:pPr>
        <w:spacing w:after="60" w:before="0" w:line="324" w:lineRule="auto"/>
        <w:jc w:val="both"/>
      </w:pPr>
      <w:r>
        <w:rPr>
          <w:rFonts w:ascii="Times New Roman" w:hAnsi="Times New Roman"/>
          <w:b w:val="0"/>
          <w:i w:val="0"/>
          <w:sz w:val="24"/>
        </w:rPr>
        <w:t>• Unified Auto-Segregation Table: Real-time filtering by wallet app, category, necessity, and risk badges.</w:t>
      </w:r>
    </w:p>
    <w:p>
      <w:pPr>
        <w:spacing w:after="60" w:before="0" w:line="324" w:lineRule="auto"/>
        <w:jc w:val="both"/>
      </w:pPr>
      <w:r>
        <w:rPr>
          <w:rFonts w:ascii="Times New Roman" w:hAnsi="Times New Roman"/>
          <w:b w:val="0"/>
          <w:i w:val="0"/>
          <w:sz w:val="24"/>
        </w:rPr>
        <w:t>• Multi-Wallet Breakdown Analytics: Market share distribution and average volume across Paytm, GPay, PhonePe, and Amazon Pay.</w:t>
      </w:r>
    </w:p>
    <w:p>
      <w:pPr>
        <w:spacing w:after="60" w:before="0" w:line="324" w:lineRule="auto"/>
        <w:jc w:val="both"/>
      </w:pPr>
      <w:r>
        <w:rPr>
          <w:rFonts w:ascii="Times New Roman" w:hAnsi="Times New Roman"/>
          <w:b w:val="0"/>
          <w:i w:val="0"/>
          <w:sz w:val="24"/>
        </w:rPr>
        <w:t>• Predictive Month-End Forecaster: Burn-rate computation, runway exhaustion date, and safe daily spend quota calculation.</w:t>
      </w:r>
    </w:p>
    <w:p>
      <w:pPr>
        <w:spacing w:after="60" w:before="0" w:line="324" w:lineRule="auto"/>
        <w:jc w:val="both"/>
      </w:pPr>
      <w:r>
        <w:rPr>
          <w:rFonts w:ascii="Times New Roman" w:hAnsi="Times New Roman"/>
          <w:b w:val="0"/>
          <w:i w:val="0"/>
          <w:sz w:val="24"/>
        </w:rPr>
        <w:t>• Automated Heuristic Fraud Detector: Real-time risk classification (Low, Medium, High) flagging suspicious activities.</w:t>
      </w:r>
    </w:p>
    <w:p>
      <w:pPr>
        <w:spacing w:after="60" w:before="0" w:line="324" w:lineRule="auto"/>
        <w:jc w:val="both"/>
      </w:pPr>
      <w:r>
        <w:rPr>
          <w:rFonts w:ascii="Times New Roman" w:hAnsi="Times New Roman"/>
          <w:b w:val="0"/>
          <w:i w:val="0"/>
          <w:sz w:val="24"/>
        </w:rPr>
        <w:t>• Monthly Category Budgeting &amp; Bill Reminders: Category progress bars with threshold warnings and scheduled bill checklists.</w:t>
      </w:r>
    </w:p>
    <w:p>
      <w:pPr>
        <w:spacing w:after="60" w:before="0" w:line="324" w:lineRule="auto"/>
        <w:jc w:val="both"/>
      </w:pPr>
      <w:r>
        <w:rPr>
          <w:rFonts w:ascii="Times New Roman" w:hAnsi="Times New Roman"/>
          <w:b w:val="0"/>
          <w:i w:val="0"/>
          <w:sz w:val="24"/>
        </w:rPr>
        <w:t>• Multimodal Conversational Voice Assistant: Spoken entity parsing for hands-free expense entry and balance inquiries.</w:t>
      </w:r>
    </w:p>
    <w:p>
      <w:pPr>
        <w:pStyle w:val="Heading2"/>
        <w:spacing w:before="200" w:after="80"/>
      </w:pPr>
      <w:r>
        <w:t>4.4 Final System Concept</w:t>
      </w:r>
    </w:p>
    <w:p>
      <w:pPr>
        <w:spacing w:after="80" w:before="0" w:line="324" w:lineRule="auto"/>
        <w:jc w:val="both"/>
      </w:pPr>
      <w:r>
        <w:rPr>
          <w:rFonts w:ascii="Times New Roman" w:hAnsi="Times New Roman"/>
          <w:b w:val="0"/>
          <w:i w:val="0"/>
          <w:sz w:val="24"/>
        </w:rPr>
        <w:t>The finalized concept positions FinAI not merely as a ledger, but as an active financial co-pilot. By translating raw transactional chaos into clear graphical metrics and actionable daily quotas, users are empowered to take control of their financial well-being effortlessly.</w:t>
      </w:r>
    </w:p>
    <w:p>
      <w:r>
        <w:br w:type="page"/>
      </w:r>
    </w:p>
    <w:p>
      <w:pPr>
        <w:pStyle w:val="Heading1"/>
        <w:spacing w:before="280" w:after="120"/>
      </w:pPr>
      <w:r>
        <w:t>CHAPTER 5</w:t>
        <w:br/>
        <w:t>REQUIREMENTS ANALYSIS</w:t>
      </w:r>
    </w:p>
    <w:p>
      <w:pPr>
        <w:pStyle w:val="Heading2"/>
        <w:spacing w:before="200" w:after="80"/>
      </w:pPr>
      <w:r>
        <w:t>5.1 Introduction</w:t>
      </w:r>
    </w:p>
    <w:p>
      <w:pPr>
        <w:spacing w:after="80" w:before="0" w:line="324" w:lineRule="auto"/>
        <w:jc w:val="both"/>
      </w:pPr>
      <w:r>
        <w:rPr>
          <w:rFonts w:ascii="Times New Roman" w:hAnsi="Times New Roman"/>
          <w:b w:val="0"/>
          <w:i w:val="0"/>
          <w:sz w:val="24"/>
        </w:rPr>
        <w:t>Requirements analysis formalizes the functional behaviors, operational qualities, and hardware/software constraints necessary to deliver a robust and reliable digital wallet analysis platform.</w:t>
      </w:r>
    </w:p>
    <w:p>
      <w:pPr>
        <w:pStyle w:val="Heading2"/>
        <w:spacing w:before="200" w:after="80"/>
      </w:pPr>
      <w:r>
        <w:t>5.2 Functional Requirements</w:t>
      </w:r>
    </w:p>
    <w:p>
      <w:pPr>
        <w:spacing w:after="80" w:before="0" w:line="324" w:lineRule="auto"/>
        <w:jc w:val="center"/>
      </w:pPr>
      <w:r>
        <w:rPr>
          <w:rFonts w:ascii="Times New Roman" w:hAnsi="Times New Roman"/>
          <w:b/>
          <w:i w:val="0"/>
          <w:sz w:val="21"/>
        </w:rPr>
        <w:t>Table 5.1: Functional Requirements of FinAI Wallet Analyzer</w:t>
      </w:r>
    </w:p>
    <w:tbl>
      <w:tblPr>
        <w:tblW w:type="auto" w:w="0"/>
        <w:jc w:val="center"/>
        <w:tblLook w:firstColumn="1" w:firstRow="1" w:lastColumn="0" w:lastRow="0" w:noHBand="0" w:noVBand="1" w:val="04A0"/>
      </w:tblPr>
      <w:tblGrid>
        <w:gridCol w:w="3216"/>
        <w:gridCol w:w="3216"/>
        <w:gridCol w:w="3216"/>
      </w:tblGrid>
      <w:tr>
        <w:tc>
          <w:tcPr>
            <w:tcW w:type="dxa" w:w="3216"/>
            <w:shd w:fill="EAEAEA"/>
            <w:tcMar>
              <w:top w:w="120" w:type="dxa"/>
              <w:bottom w:w="120" w:type="dxa"/>
              <w:left w:w="150" w:type="dxa"/>
              <w:right w:w="150" w:type="dxa"/>
            </w:tcMar>
          </w:tcPr>
          <w:p>
            <w:pPr>
              <w:jc w:val="center"/>
            </w:pPr>
            <w:r>
              <w:rPr>
                <w:rFonts w:ascii="Times New Roman" w:hAnsi="Times New Roman"/>
                <w:b/>
                <w:sz w:val="20"/>
              </w:rPr>
              <w:t>Req ID</w:t>
            </w:r>
          </w:p>
        </w:tc>
        <w:tc>
          <w:tcPr>
            <w:tcW w:type="dxa" w:w="3216"/>
            <w:shd w:fill="EAEAEA"/>
            <w:tcMar>
              <w:top w:w="120" w:type="dxa"/>
              <w:bottom w:w="120" w:type="dxa"/>
              <w:left w:w="150" w:type="dxa"/>
              <w:right w:w="150" w:type="dxa"/>
            </w:tcMar>
          </w:tcPr>
          <w:p>
            <w:pPr>
              <w:jc w:val="center"/>
            </w:pPr>
            <w:r>
              <w:rPr>
                <w:rFonts w:ascii="Times New Roman" w:hAnsi="Times New Roman"/>
                <w:b/>
                <w:sz w:val="20"/>
              </w:rPr>
              <w:t>Functional Requirement</w:t>
            </w:r>
          </w:p>
        </w:tc>
        <w:tc>
          <w:tcPr>
            <w:tcW w:type="dxa" w:w="3216"/>
            <w:shd w:fill="EAEAEA"/>
            <w:tcMar>
              <w:top w:w="120" w:type="dxa"/>
              <w:bottom w:w="120" w:type="dxa"/>
              <w:left w:w="150" w:type="dxa"/>
              <w:right w:w="150" w:type="dxa"/>
            </w:tcMar>
          </w:tcPr>
          <w:p>
            <w:pPr>
              <w:jc w:val="center"/>
            </w:pPr>
            <w:r>
              <w:rPr>
                <w:rFonts w:ascii="Times New Roman" w:hAnsi="Times New Roman"/>
                <w:b/>
                <w:sz w:val="20"/>
              </w:rPr>
              <w:t>Detailed System Behavior</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FR-01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Transaction Ingestion</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Allows users to add, edit, filter, and delete transactions with merchant, amount, wallet, and date.</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FR-02</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Autonomous NLP Categorization</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Parses merchant string and maps it to one of eight categories using keyword intelligence.</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FR-03</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Necessity Classification</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Tags transactions as 'Need' (provisions, fuel, bills) or 'Want' (luxury shopping, gaming, dining).</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FR-04</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Multi-Wallet Breakdown</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Computes total volume, transaction counts, and market share percentages per payment wallet.</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FR-05</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Burn-Rate Forecaster</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Computes daily burn velocity: Total Spent / Days Elapsed; projects month-end total.</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FR-06</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Safe Spend Quota Engine</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Calculates daily allowable spend: (Monthly Budget - Total Spent) / Days Remaining.</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FR-07</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Fraud &amp; Anomaly Scoring</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Evaluates debit amount, transaction hour, and merchant reputation to output a 0-100 risk score.</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FR-08</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Budget Limit Enforcement</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Maintains category ceilings and flags visual breach warnings when spend exceeds 100%.</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FR-09</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Scheduled Bill Management</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Tracks upcoming recurring payments, showing due dates, amounts, and direct payment links.</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FR-10</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Voice Speech-to-Text Entry</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Captures spoken voice in real time using Web Speech API with interim transcript visualizer.</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FR-11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Spoken NLP Entity Parsing</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Extracts merchant, amount, category, and intent from colloquial English/Indian-accented phrases.</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FR-12</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Text-to-Speech Spoken Audio</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Synthesizes human-like voice responses reading transaction confirmations and balance summaries.</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FR-13</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Dual-Mode Local Storage</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Automatically switches between FastAPI backend and localStorage clientEngine without service disruption.</w:t>
            </w:r>
          </w:p>
        </w:tc>
      </w:tr>
    </w:tbl>
    <w:p>
      <w:pPr>
        <w:spacing w:after="80"/>
      </w:pPr>
    </w:p>
    <w:p>
      <w:pPr>
        <w:pStyle w:val="Heading2"/>
        <w:spacing w:before="200" w:after="80"/>
      </w:pPr>
      <w:r>
        <w:t>5.3 Non-Functional Requirements</w:t>
      </w:r>
    </w:p>
    <w:p>
      <w:pPr>
        <w:spacing w:after="80" w:before="0" w:line="324" w:lineRule="auto"/>
        <w:jc w:val="center"/>
      </w:pPr>
      <w:r>
        <w:rPr>
          <w:rFonts w:ascii="Times New Roman" w:hAnsi="Times New Roman"/>
          <w:b/>
          <w:i w:val="0"/>
          <w:sz w:val="21"/>
        </w:rPr>
        <w:t>Table 5.2: Non-Functional Quality Attributes and Service Metrics</w:t>
      </w:r>
    </w:p>
    <w:tbl>
      <w:tblPr>
        <w:tblW w:type="auto" w:w="0"/>
        <w:jc w:val="center"/>
        <w:tblLook w:firstColumn="1" w:firstRow="1" w:lastColumn="0" w:lastRow="0" w:noHBand="0" w:noVBand="1" w:val="04A0"/>
      </w:tblPr>
      <w:tblGrid>
        <w:gridCol w:w="3216"/>
        <w:gridCol w:w="3216"/>
        <w:gridCol w:w="3216"/>
      </w:tblGrid>
      <w:tr>
        <w:tc>
          <w:tcPr>
            <w:tcW w:type="dxa" w:w="3216"/>
            <w:shd w:fill="EAEAEA"/>
            <w:tcMar>
              <w:top w:w="120" w:type="dxa"/>
              <w:bottom w:w="120" w:type="dxa"/>
              <w:left w:w="150" w:type="dxa"/>
              <w:right w:w="150" w:type="dxa"/>
            </w:tcMar>
          </w:tcPr>
          <w:p>
            <w:pPr>
              <w:jc w:val="center"/>
            </w:pPr>
            <w:r>
              <w:rPr>
                <w:rFonts w:ascii="Times New Roman" w:hAnsi="Times New Roman"/>
                <w:b/>
                <w:sz w:val="20"/>
              </w:rPr>
              <w:t>Attribute</w:t>
            </w:r>
          </w:p>
        </w:tc>
        <w:tc>
          <w:tcPr>
            <w:tcW w:type="dxa" w:w="3216"/>
            <w:shd w:fill="EAEAEA"/>
            <w:tcMar>
              <w:top w:w="120" w:type="dxa"/>
              <w:bottom w:w="120" w:type="dxa"/>
              <w:left w:w="150" w:type="dxa"/>
              <w:right w:w="150" w:type="dxa"/>
            </w:tcMar>
          </w:tcPr>
          <w:p>
            <w:pPr>
              <w:jc w:val="center"/>
            </w:pPr>
            <w:r>
              <w:rPr>
                <w:rFonts w:ascii="Times New Roman" w:hAnsi="Times New Roman"/>
                <w:b/>
                <w:sz w:val="20"/>
              </w:rPr>
              <w:t>Specification Metric</w:t>
            </w:r>
          </w:p>
        </w:tc>
        <w:tc>
          <w:tcPr>
            <w:tcW w:type="dxa" w:w="3216"/>
            <w:shd w:fill="EAEAEA"/>
            <w:tcMar>
              <w:top w:w="120" w:type="dxa"/>
              <w:bottom w:w="120" w:type="dxa"/>
              <w:left w:w="150" w:type="dxa"/>
              <w:right w:w="150" w:type="dxa"/>
            </w:tcMar>
          </w:tcPr>
          <w:p>
            <w:pPr>
              <w:jc w:val="center"/>
            </w:pPr>
            <w:r>
              <w:rPr>
                <w:rFonts w:ascii="Times New Roman" w:hAnsi="Times New Roman"/>
                <w:b/>
                <w:sz w:val="20"/>
              </w:rPr>
              <w:t>Implementation Mechanism</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Performance</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API response &lt; 100ms; UI render &lt; 16ms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FastAPI asynchronous endpoints and React virtual DOM reconciliation</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Reliability</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99.9% uptime; zero data loss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Dual-mode fallback: switches to clientEngine.js if server fails</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Usability</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Zero training required; dark-mode UI</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Tailwind CSS dark aesthetics, clear typography, and Lucide iconography</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Security</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Zero sensitive banking credentials stored</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Passbook logs sanitized; runs locally in browser storage</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Scalability</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Handles 10,000+ transactions seamlessly</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Efficient SQLite indexed queries and indexed array filtering</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Maintainability</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Modular decoupled design</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Independent React functional components and clean Python router modules</w:t>
            </w:r>
          </w:p>
        </w:tc>
      </w:tr>
    </w:tbl>
    <w:p>
      <w:pPr>
        <w:spacing w:after="80"/>
      </w:pPr>
    </w:p>
    <w:p>
      <w:pPr>
        <w:pStyle w:val="Heading2"/>
        <w:spacing w:before="200" w:after="80"/>
      </w:pPr>
      <w:r>
        <w:t>5.4 Hardware and Software Requirements</w:t>
      </w:r>
    </w:p>
    <w:p>
      <w:pPr>
        <w:spacing w:after="80" w:before="0" w:line="324" w:lineRule="auto"/>
        <w:jc w:val="both"/>
      </w:pPr>
      <w:r>
        <w:rPr>
          <w:rFonts w:ascii="Times New Roman" w:hAnsi="Times New Roman"/>
          <w:b w:val="0"/>
          <w:i w:val="0"/>
          <w:sz w:val="24"/>
        </w:rPr>
        <w:t>Hardware Specifications:</w:t>
        <w:br/>
        <w:t>• Processor: Intel Core i3 / AMD Ryzen 3 or higher</w:t>
        <w:br/>
        <w:t>• RAM: Minimum 4 GB (8 GB recommended)</w:t>
        <w:br/>
        <w:t>• Storage: 250 MB free disk space</w:t>
        <w:br/>
        <w:t>• Peripherals: Standard microphone and audio output for voice assistant features</w:t>
      </w:r>
    </w:p>
    <w:p>
      <w:pPr>
        <w:spacing w:after="80" w:before="0" w:line="324" w:lineRule="auto"/>
        <w:jc w:val="both"/>
      </w:pPr>
      <w:r>
        <w:rPr>
          <w:rFonts w:ascii="Times New Roman" w:hAnsi="Times New Roman"/>
          <w:b w:val="0"/>
          <w:i w:val="0"/>
          <w:sz w:val="24"/>
        </w:rPr>
        <w:t>Software Specifications:</w:t>
        <w:br/>
        <w:t>• Operating System: Windows 10/11, macOS, or Linux</w:t>
        <w:br/>
        <w:t>• Frontend Stack: React 18, Vite 5, Tailwind CSS 3, Recharts, Lucide React</w:t>
        <w:br/>
        <w:t>• Backend Stack: Python 3.13, FastAPI 0.110, Uvicorn 0.28, SQLAlchemy 2.0</w:t>
        <w:br/>
        <w:t>• Database: SQLite (server-mode) and HTML5 LocalStorage (offline-mode)</w:t>
        <w:br/>
        <w:t>• Browser: Google Chrome, Microsoft Edge, or Safari with Web Speech API support</w:t>
      </w:r>
    </w:p>
    <w:p>
      <w:pPr>
        <w:pStyle w:val="Heading2"/>
        <w:spacing w:before="200" w:after="80"/>
      </w:pPr>
      <w:r>
        <w:t>5.5 Category Definitions and Anomaly Risk Matrix</w:t>
      </w:r>
    </w:p>
    <w:p>
      <w:pPr>
        <w:spacing w:after="80" w:before="0" w:line="324" w:lineRule="auto"/>
        <w:jc w:val="center"/>
      </w:pPr>
      <w:r>
        <w:rPr>
          <w:rFonts w:ascii="Times New Roman" w:hAnsi="Times New Roman"/>
          <w:b/>
          <w:i w:val="0"/>
          <w:sz w:val="21"/>
        </w:rPr>
        <w:t>Table 5.3: Financial Transaction Categories and Spending Heuristics</w:t>
      </w:r>
    </w:p>
    <w:tbl>
      <w:tblPr>
        <w:tblW w:type="auto" w:w="0"/>
        <w:jc w:val="center"/>
        <w:tblLook w:firstColumn="1" w:firstRow="1" w:lastColumn="0" w:lastRow="0" w:noHBand="0" w:noVBand="1" w:val="04A0"/>
      </w:tblPr>
      <w:tblGrid>
        <w:gridCol w:w="3216"/>
        <w:gridCol w:w="3216"/>
        <w:gridCol w:w="3216"/>
      </w:tblGrid>
      <w:tr>
        <w:tc>
          <w:tcPr>
            <w:tcW w:type="dxa" w:w="3216"/>
            <w:shd w:fill="EAEAEA"/>
            <w:tcMar>
              <w:top w:w="120" w:type="dxa"/>
              <w:bottom w:w="120" w:type="dxa"/>
              <w:left w:w="150" w:type="dxa"/>
              <w:right w:w="150" w:type="dxa"/>
            </w:tcMar>
          </w:tcPr>
          <w:p>
            <w:pPr>
              <w:jc w:val="center"/>
            </w:pPr>
            <w:r>
              <w:rPr>
                <w:rFonts w:ascii="Times New Roman" w:hAnsi="Times New Roman"/>
                <w:b/>
                <w:sz w:val="20"/>
              </w:rPr>
              <w:t>Category</w:t>
            </w:r>
          </w:p>
        </w:tc>
        <w:tc>
          <w:tcPr>
            <w:tcW w:type="dxa" w:w="3216"/>
            <w:shd w:fill="EAEAEA"/>
            <w:tcMar>
              <w:top w:w="120" w:type="dxa"/>
              <w:bottom w:w="120" w:type="dxa"/>
              <w:left w:w="150" w:type="dxa"/>
              <w:right w:w="150" w:type="dxa"/>
            </w:tcMar>
          </w:tcPr>
          <w:p>
            <w:pPr>
              <w:jc w:val="center"/>
            </w:pPr>
            <w:r>
              <w:rPr>
                <w:rFonts w:ascii="Times New Roman" w:hAnsi="Times New Roman"/>
                <w:b/>
                <w:sz w:val="20"/>
              </w:rPr>
              <w:t>Representative Merchants / Keywords</w:t>
            </w:r>
          </w:p>
        </w:tc>
        <w:tc>
          <w:tcPr>
            <w:tcW w:type="dxa" w:w="3216"/>
            <w:shd w:fill="EAEAEA"/>
            <w:tcMar>
              <w:top w:w="120" w:type="dxa"/>
              <w:bottom w:w="120" w:type="dxa"/>
              <w:left w:w="150" w:type="dxa"/>
              <w:right w:w="150" w:type="dxa"/>
            </w:tcMar>
          </w:tcPr>
          <w:p>
            <w:pPr>
              <w:jc w:val="center"/>
            </w:pPr>
            <w:r>
              <w:rPr>
                <w:rFonts w:ascii="Times New Roman" w:hAnsi="Times New Roman"/>
                <w:b/>
                <w:sz w:val="20"/>
              </w:rPr>
              <w:t>Default Necessity</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Groceries &amp; Supermarket</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BigBasket, Nature's Basket, Zepto, Blinkit, DMart, Provisions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Need</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Utilities &amp; Bills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BESCOM, Jio 5G, Airtel Xstream, LPG Gas, Electricity, Water</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Need</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Travel &amp; Commute</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Shell Petrol, Uber, Ola Cabs, Metro Card, Fastag, Fuel</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Need</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Food &amp; Dining</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Swiggy Gourmet, Zomato, Starbucks, McDonald's, Restaurant</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Want</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Shopping &amp; E-Commerce</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Amazon India Marketplace, Flipkart, Myntra, Zara, Electronics</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Want</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Investments &amp; Savings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Zerodha, Groww, CryptoEx, Mutual Funds, Fixed Deposit</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Want / Need</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Transfers &amp; Personal</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Family Transfer, Rent to Landlord, UPI to Friend, Cash Advance</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Need</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Entertainment &amp; Leisure</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Netflix, BookMyShow, Spotify, Hotstar, Gaming Credits</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Want</w:t>
            </w:r>
          </w:p>
        </w:tc>
      </w:tr>
    </w:tbl>
    <w:p>
      <w:pPr>
        <w:spacing w:after="80"/>
      </w:pPr>
    </w:p>
    <w:p>
      <w:pPr>
        <w:spacing w:after="80" w:before="0" w:line="324" w:lineRule="auto"/>
        <w:jc w:val="center"/>
      </w:pPr>
      <w:r>
        <w:rPr>
          <w:rFonts w:ascii="Times New Roman" w:hAnsi="Times New Roman"/>
          <w:b/>
          <w:i w:val="0"/>
          <w:sz w:val="21"/>
        </w:rPr>
        <w:t>Table 5.4: AI Fraud Risk Assessment Scoring Matrix</w:t>
      </w:r>
    </w:p>
    <w:tbl>
      <w:tblPr>
        <w:tblW w:type="auto" w:w="0"/>
        <w:jc w:val="center"/>
        <w:tblLook w:firstColumn="1" w:firstRow="1" w:lastColumn="0" w:lastRow="0" w:noHBand="0" w:noVBand="1" w:val="04A0"/>
      </w:tblPr>
      <w:tblGrid>
        <w:gridCol w:w="2412"/>
        <w:gridCol w:w="2412"/>
        <w:gridCol w:w="2412"/>
        <w:gridCol w:w="2412"/>
      </w:tblGrid>
      <w:tr>
        <w:tc>
          <w:tcPr>
            <w:tcW w:type="dxa" w:w="2412"/>
            <w:shd w:fill="EAEAEA"/>
            <w:tcMar>
              <w:top w:w="120" w:type="dxa"/>
              <w:bottom w:w="120" w:type="dxa"/>
              <w:left w:w="150" w:type="dxa"/>
              <w:right w:w="150" w:type="dxa"/>
            </w:tcMar>
          </w:tcPr>
          <w:p>
            <w:pPr>
              <w:jc w:val="center"/>
            </w:pPr>
            <w:r>
              <w:rPr>
                <w:rFonts w:ascii="Times New Roman" w:hAnsi="Times New Roman"/>
                <w:b/>
                <w:sz w:val="20"/>
              </w:rPr>
              <w:t>Risk Tier</w:t>
            </w:r>
          </w:p>
        </w:tc>
        <w:tc>
          <w:tcPr>
            <w:tcW w:type="dxa" w:w="2412"/>
            <w:shd w:fill="EAEAEA"/>
            <w:tcMar>
              <w:top w:w="120" w:type="dxa"/>
              <w:bottom w:w="120" w:type="dxa"/>
              <w:left w:w="150" w:type="dxa"/>
              <w:right w:w="150" w:type="dxa"/>
            </w:tcMar>
          </w:tcPr>
          <w:p>
            <w:pPr>
              <w:jc w:val="center"/>
            </w:pPr>
            <w:r>
              <w:rPr>
                <w:rFonts w:ascii="Times New Roman" w:hAnsi="Times New Roman"/>
                <w:b/>
                <w:sz w:val="20"/>
              </w:rPr>
              <w:t>Score Range</w:t>
            </w:r>
          </w:p>
        </w:tc>
        <w:tc>
          <w:tcPr>
            <w:tcW w:type="dxa" w:w="2412"/>
            <w:shd w:fill="EAEAEA"/>
            <w:tcMar>
              <w:top w:w="120" w:type="dxa"/>
              <w:bottom w:w="120" w:type="dxa"/>
              <w:left w:w="150" w:type="dxa"/>
              <w:right w:w="150" w:type="dxa"/>
            </w:tcMar>
          </w:tcPr>
          <w:p>
            <w:pPr>
              <w:jc w:val="center"/>
            </w:pPr>
            <w:r>
              <w:rPr>
                <w:rFonts w:ascii="Times New Roman" w:hAnsi="Times New Roman"/>
                <w:b/>
                <w:sz w:val="20"/>
              </w:rPr>
              <w:t>Triggering Conditions &amp; Behavioral Signals</w:t>
            </w:r>
          </w:p>
        </w:tc>
        <w:tc>
          <w:tcPr>
            <w:tcW w:type="dxa" w:w="2412"/>
            <w:shd w:fill="EAEAEA"/>
            <w:tcMar>
              <w:top w:w="120" w:type="dxa"/>
              <w:bottom w:w="120" w:type="dxa"/>
              <w:left w:w="150" w:type="dxa"/>
              <w:right w:w="150" w:type="dxa"/>
            </w:tcMar>
          </w:tcPr>
          <w:p>
            <w:pPr>
              <w:jc w:val="center"/>
            </w:pPr>
            <w:r>
              <w:rPr>
                <w:rFonts w:ascii="Times New Roman" w:hAnsi="Times New Roman"/>
                <w:b/>
                <w:sz w:val="20"/>
              </w:rPr>
              <w:t>System Action</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LOW</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0 - 39</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Normal daytime hours, recognized domestic merchant, standard amount (&lt; ₹5,000)</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Recorded normally</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MEDIUM</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40 - 69</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Rapid duplicate charges, merchant volume surge, or transaction amount ₹5,000 - ₹20,000</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Yellow badge warning</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HIGH</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70 - 100</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Midnight hours (00:00 - 05:00 AM), overseas crypto/forex, or debit &gt; ₹20,000</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Red badge alert banner</w:t>
            </w:r>
          </w:p>
        </w:tc>
      </w:tr>
    </w:tbl>
    <w:p>
      <w:pPr>
        <w:spacing w:after="80"/>
      </w:pPr>
    </w:p>
    <w:p>
      <w:r>
        <w:br w:type="page"/>
      </w:r>
    </w:p>
    <w:p>
      <w:pPr>
        <w:pStyle w:val="Heading1"/>
        <w:spacing w:before="280" w:after="120"/>
      </w:pPr>
      <w:r>
        <w:t>CHAPTER 6</w:t>
        <w:br/>
        <w:t>TECHNOLOGY STACK</w:t>
      </w:r>
    </w:p>
    <w:p>
      <w:pPr>
        <w:pStyle w:val="Heading2"/>
        <w:spacing w:before="200" w:after="80"/>
      </w:pPr>
      <w:r>
        <w:t>6.1 Introduction</w:t>
      </w:r>
    </w:p>
    <w:p>
      <w:pPr>
        <w:spacing w:after="80" w:before="0" w:line="324" w:lineRule="auto"/>
        <w:jc w:val="both"/>
      </w:pPr>
      <w:r>
        <w:rPr>
          <w:rFonts w:ascii="Times New Roman" w:hAnsi="Times New Roman"/>
          <w:b w:val="0"/>
          <w:i w:val="0"/>
          <w:sz w:val="24"/>
        </w:rPr>
        <w:t>FinAI Wallet Analyzer is constructed using a high-performance modern web architecture. The technology stack was curated to deliver rapid responsiveness, elegant visual styling, rock-solid reliability, and zero-configuration deployment.</w:t>
      </w:r>
    </w:p>
    <w:p>
      <w:pPr>
        <w:spacing w:after="80" w:before="0" w:line="324" w:lineRule="auto"/>
        <w:jc w:val="center"/>
      </w:pPr>
      <w:r>
        <w:rPr>
          <w:rFonts w:ascii="Times New Roman" w:hAnsi="Times New Roman"/>
          <w:b/>
          <w:i w:val="0"/>
          <w:sz w:val="21"/>
        </w:rPr>
        <w:t>Table 6.1: Comprehensive Technology Stack Specifications</w:t>
      </w:r>
    </w:p>
    <w:tbl>
      <w:tblPr>
        <w:tblW w:type="auto" w:w="0"/>
        <w:jc w:val="center"/>
        <w:tblLook w:firstColumn="1" w:firstRow="1" w:lastColumn="0" w:lastRow="0" w:noHBand="0" w:noVBand="1" w:val="04A0"/>
      </w:tblPr>
      <w:tblGrid>
        <w:gridCol w:w="2412"/>
        <w:gridCol w:w="2412"/>
        <w:gridCol w:w="2412"/>
        <w:gridCol w:w="2412"/>
      </w:tblGrid>
      <w:tr>
        <w:tc>
          <w:tcPr>
            <w:tcW w:type="dxa" w:w="2412"/>
            <w:shd w:fill="EAEAEA"/>
            <w:tcMar>
              <w:top w:w="120" w:type="dxa"/>
              <w:bottom w:w="120" w:type="dxa"/>
              <w:left w:w="150" w:type="dxa"/>
              <w:right w:w="150" w:type="dxa"/>
            </w:tcMar>
          </w:tcPr>
          <w:p>
            <w:pPr>
              <w:jc w:val="center"/>
            </w:pPr>
            <w:r>
              <w:rPr>
                <w:rFonts w:ascii="Times New Roman" w:hAnsi="Times New Roman"/>
                <w:b/>
                <w:sz w:val="20"/>
              </w:rPr>
              <w:t>Layer</w:t>
            </w:r>
          </w:p>
        </w:tc>
        <w:tc>
          <w:tcPr>
            <w:tcW w:type="dxa" w:w="2412"/>
            <w:shd w:fill="EAEAEA"/>
            <w:tcMar>
              <w:top w:w="120" w:type="dxa"/>
              <w:bottom w:w="120" w:type="dxa"/>
              <w:left w:w="150" w:type="dxa"/>
              <w:right w:w="150" w:type="dxa"/>
            </w:tcMar>
          </w:tcPr>
          <w:p>
            <w:pPr>
              <w:jc w:val="center"/>
            </w:pPr>
            <w:r>
              <w:rPr>
                <w:rFonts w:ascii="Times New Roman" w:hAnsi="Times New Roman"/>
                <w:b/>
                <w:sz w:val="20"/>
              </w:rPr>
              <w:t>Technology</w:t>
            </w:r>
          </w:p>
        </w:tc>
        <w:tc>
          <w:tcPr>
            <w:tcW w:type="dxa" w:w="2412"/>
            <w:shd w:fill="EAEAEA"/>
            <w:tcMar>
              <w:top w:w="120" w:type="dxa"/>
              <w:bottom w:w="120" w:type="dxa"/>
              <w:left w:w="150" w:type="dxa"/>
              <w:right w:w="150" w:type="dxa"/>
            </w:tcMar>
          </w:tcPr>
          <w:p>
            <w:pPr>
              <w:jc w:val="center"/>
            </w:pPr>
            <w:r>
              <w:rPr>
                <w:rFonts w:ascii="Times New Roman" w:hAnsi="Times New Roman"/>
                <w:b/>
                <w:sz w:val="20"/>
              </w:rPr>
              <w:t>Version</w:t>
            </w:r>
          </w:p>
        </w:tc>
        <w:tc>
          <w:tcPr>
            <w:tcW w:type="dxa" w:w="2412"/>
            <w:shd w:fill="EAEAEA"/>
            <w:tcMar>
              <w:top w:w="120" w:type="dxa"/>
              <w:bottom w:w="120" w:type="dxa"/>
              <w:left w:w="150" w:type="dxa"/>
              <w:right w:w="150" w:type="dxa"/>
            </w:tcMar>
          </w:tcPr>
          <w:p>
            <w:pPr>
              <w:jc w:val="center"/>
            </w:pPr>
            <w:r>
              <w:rPr>
                <w:rFonts w:ascii="Times New Roman" w:hAnsi="Times New Roman"/>
                <w:b/>
                <w:sz w:val="20"/>
              </w:rPr>
              <w:t>Primary Purpose</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Frontend UI</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React</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18.3.1</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Component-based reactive user interface rendering</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Build Tool</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Vite</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5.2.0</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Ultra-fast Hot Module Replacement and bundle optimization</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Styling Engine</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Tailwind CSS</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3.4.1</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Utility-first dark aesthetic styling and responsive grids</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Data Visualization</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Recharts</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2.12.0</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Declarative SVG charts for spending trajectories and trends</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Iconography</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Lucide React</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0.344.0</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Clean vector icons for wallets, categories, and metrics</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Speech Processing</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Web Speech API</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Browser Native</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In-browser Automatic Speech Recognition and Speech Synthesis</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Backend Web API</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FastAPI</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0.110.0</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Asynchronous Python REST API framework with automatic OpenAPI docs</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ASGI Web Server</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Uvicorn</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0.28.0</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High-throughput asynchronous server running the FastAPI application</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Language</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Python</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3.13.0</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Core backend intelligence, statistical math, and parsing logic</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Database ORM</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SQLAlchemy</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2.0.28</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Object-relational mapping and database schema abstraction</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Persistent Storage</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SQLite / LocalStorage</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3.x / HTML5</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Dual-mode storage: relational database and browser-native cache</w:t>
            </w:r>
          </w:p>
        </w:tc>
      </w:tr>
    </w:tbl>
    <w:p>
      <w:pPr>
        <w:spacing w:after="80"/>
      </w:pPr>
    </w:p>
    <w:p>
      <w:pPr>
        <w:pStyle w:val="Heading2"/>
        <w:spacing w:before="200" w:after="80"/>
      </w:pPr>
      <w:r>
        <w:t>6.2 Frontend Architecture</w:t>
      </w:r>
    </w:p>
    <w:p>
      <w:pPr>
        <w:spacing w:after="80" w:before="0" w:line="324" w:lineRule="auto"/>
        <w:jc w:val="both"/>
      </w:pPr>
      <w:r>
        <w:rPr>
          <w:rFonts w:ascii="Times New Roman" w:hAnsi="Times New Roman"/>
          <w:b w:val="0"/>
          <w:i w:val="0"/>
          <w:sz w:val="24"/>
        </w:rPr>
        <w:t>The frontend is structured as a single-page application (SPA) powered by React 18 and Vite. Component state is managed reactively, ensuring instantaneous updates when transactions are added or filtered. Tailwind CSS provides a dark-mode aesthetic (slate-950 background, cyan/indigo highlights, and crimson alert accents). Recharts delivers hardware-accelerated SVG rendering of month-end expenditure burn trajectories.</w:t>
      </w:r>
    </w:p>
    <w:p>
      <w:pPr>
        <w:pStyle w:val="Heading2"/>
        <w:spacing w:before="200" w:after="80"/>
      </w:pPr>
      <w:r>
        <w:t>6.3 Backend Architecture</w:t>
      </w:r>
    </w:p>
    <w:p>
      <w:pPr>
        <w:spacing w:after="80" w:before="0" w:line="324" w:lineRule="auto"/>
        <w:jc w:val="both"/>
      </w:pPr>
      <w:r>
        <w:rPr>
          <w:rFonts w:ascii="Times New Roman" w:hAnsi="Times New Roman"/>
          <w:b w:val="0"/>
          <w:i w:val="0"/>
          <w:sz w:val="24"/>
        </w:rPr>
        <w:t>The backend is powered by FastAPI, leveraging Python 3.13 asynchronous type annotations. Endpoints are organized into modular routers: /api/transactions for CRUD operations, /api/analytics for categorical and wallet breakdowns, /api/forecast for burn-rate trajectory predictions, /api/budgets for ceiling tracking, and /api/voice for audio command processing.</w:t>
      </w:r>
    </w:p>
    <w:p>
      <w:pPr>
        <w:pStyle w:val="Heading2"/>
        <w:spacing w:before="200" w:after="80"/>
      </w:pPr>
      <w:r>
        <w:t>6.4 Dual-Mode Client Fallback Engine (clientEngine.js)</w:t>
      </w:r>
    </w:p>
    <w:p>
      <w:pPr>
        <w:spacing w:after="80" w:before="0" w:line="324" w:lineRule="auto"/>
        <w:jc w:val="both"/>
      </w:pPr>
      <w:r>
        <w:rPr>
          <w:rFonts w:ascii="Times New Roman" w:hAnsi="Times New Roman"/>
          <w:b w:val="0"/>
          <w:i w:val="0"/>
          <w:sz w:val="24"/>
        </w:rPr>
        <w:t>A critical engineering highlight of FinAI is its resilient dual-mode data layer. When launched on a machine with the Python backend running, all API calls seamlessly communicate with FastAPI. However, when deployed to static hosting platforms such as GitHub Pages or Vercel, the frontend automatically detects server unavailability via a 1.5-second health-check ping and silently activates clientEngine.js. This engine replicates all backend logic—including NLP categorization, fraud scoring, forecasting, and CRUD mutations—entirely within HTML5 localStorage. As a result, the application guarantees 100% operational functionality without requiring any external servers.</w:t>
      </w:r>
    </w:p>
    <w:p>
      <w:r>
        <w:br w:type="page"/>
      </w:r>
    </w:p>
    <w:p>
      <w:pPr>
        <w:pStyle w:val="Heading1"/>
        <w:spacing w:before="280" w:after="120"/>
      </w:pPr>
      <w:r>
        <w:t>CHAPTER 7</w:t>
        <w:br/>
        <w:t>SYSTEM DESIGN</w:t>
      </w:r>
    </w:p>
    <w:p>
      <w:pPr>
        <w:pStyle w:val="Heading2"/>
        <w:spacing w:before="200" w:after="80"/>
      </w:pPr>
      <w:r>
        <w:t>7.1 System Architecture</w:t>
      </w:r>
    </w:p>
    <w:p>
      <w:pPr>
        <w:spacing w:after="80" w:before="0" w:line="324" w:lineRule="auto"/>
        <w:jc w:val="both"/>
      </w:pPr>
      <w:r>
        <w:rPr>
          <w:rFonts w:ascii="Times New Roman" w:hAnsi="Times New Roman"/>
          <w:b w:val="0"/>
          <w:i w:val="0"/>
          <w:sz w:val="24"/>
        </w:rPr>
        <w:t>FinAI Wallet Analyzer follows a modern, decoupled client-server architecture consisting of four discrete layers: the Multimodal Client Presentation Layer, the Intelligent API Service Gateway, the Core Business Logic &amp; AI Engines, and the Dual-Mode Data Persistence Layer.</w:t>
      </w:r>
    </w:p>
    <w:p>
      <w:pPr>
        <w:spacing w:before="120" w:after="80"/>
        <w:jc w:val="center"/>
      </w:pPr>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image4.jpeg"/>
                    <pic:cNvPicPr/>
                  </pic:nvPicPr>
                  <pic:blipFill>
                    <a:blip r:embed="rId12"/>
                    <a:stretch>
                      <a:fillRect/>
                    </a:stretch>
                  </pic:blipFill>
                  <pic:spPr>
                    <a:xfrm>
                      <a:off x="0" y="0"/>
                      <a:ext cx="5303520" cy="5303520"/>
                    </a:xfrm>
                    <a:prstGeom prst="rect"/>
                  </pic:spPr>
                </pic:pic>
              </a:graphicData>
            </a:graphic>
          </wp:inline>
        </w:drawing>
      </w:r>
    </w:p>
    <w:p>
      <w:pPr>
        <w:spacing w:after="160"/>
        <w:jc w:val="center"/>
      </w:pPr>
      <w:r>
        <w:rPr>
          <w:rFonts w:ascii="Times New Roman" w:hAnsi="Times New Roman"/>
          <w:b/>
          <w:sz w:val="21"/>
        </w:rPr>
        <w:t>Figure 7.1: End-to-End Multilayer System Architecture of FinAI</w:t>
      </w:r>
    </w:p>
    <w:p>
      <w:pPr>
        <w:pStyle w:val="Heading2"/>
        <w:spacing w:before="200" w:after="80"/>
      </w:pPr>
      <w:r>
        <w:t>7.2 System Components and Interaction Workflow</w:t>
      </w:r>
    </w:p>
    <w:p>
      <w:pPr>
        <w:spacing w:after="80" w:before="0" w:line="324" w:lineRule="auto"/>
        <w:jc w:val="both"/>
      </w:pPr>
      <w:r>
        <w:rPr>
          <w:rFonts w:ascii="Times New Roman" w:hAnsi="Times New Roman"/>
          <w:b w:val="0"/>
          <w:i w:val="0"/>
          <w:sz w:val="24"/>
        </w:rPr>
        <w:t>The operational components interact dynamically across the following pipeline:</w:t>
      </w:r>
    </w:p>
    <w:p>
      <w:pPr>
        <w:spacing w:after="40" w:before="0" w:line="324" w:lineRule="auto"/>
        <w:jc w:val="both"/>
      </w:pPr>
      <w:r>
        <w:rPr>
          <w:rFonts w:ascii="Times New Roman" w:hAnsi="Times New Roman"/>
          <w:b w:val="0"/>
          <w:i w:val="0"/>
          <w:sz w:val="24"/>
        </w:rPr>
        <w:t>1. Ingestion Component: Accepts transaction submissions from keyboard forms, CSV datasets, or voice microphone captures.</w:t>
      </w:r>
    </w:p>
    <w:p>
      <w:pPr>
        <w:spacing w:after="40" w:before="0" w:line="324" w:lineRule="auto"/>
        <w:jc w:val="both"/>
      </w:pPr>
      <w:r>
        <w:rPr>
          <w:rFonts w:ascii="Times New Roman" w:hAnsi="Times New Roman"/>
          <w:b w:val="0"/>
          <w:i w:val="0"/>
          <w:sz w:val="24"/>
        </w:rPr>
        <w:t>2. NLP Categorization Engine: Inspects merchant metadata, tokenizes text, and classifies outlays into standard categories.</w:t>
      </w:r>
    </w:p>
    <w:p>
      <w:pPr>
        <w:spacing w:after="40" w:before="0" w:line="324" w:lineRule="auto"/>
        <w:jc w:val="both"/>
      </w:pPr>
      <w:r>
        <w:rPr>
          <w:rFonts w:ascii="Times New Roman" w:hAnsi="Times New Roman"/>
          <w:b w:val="0"/>
          <w:i w:val="0"/>
          <w:sz w:val="24"/>
        </w:rPr>
        <w:t>3. Anomaly &amp; Fraud Scorer: Evaluates transaction hour, amount scale, and merchant risk to compute a vulnerability score.</w:t>
      </w:r>
    </w:p>
    <w:p>
      <w:pPr>
        <w:spacing w:after="40" w:before="0" w:line="324" w:lineRule="auto"/>
        <w:jc w:val="both"/>
      </w:pPr>
      <w:r>
        <w:rPr>
          <w:rFonts w:ascii="Times New Roman" w:hAnsi="Times New Roman"/>
          <w:b w:val="0"/>
          <w:i w:val="0"/>
          <w:sz w:val="24"/>
        </w:rPr>
        <w:t>4. Forecaster &amp; Burn-Rate Processor: Calculates historical burn velocity, projects month-end totals, and updates the daily safe-spend allowance.</w:t>
      </w:r>
    </w:p>
    <w:p>
      <w:pPr>
        <w:spacing w:after="80" w:before="0" w:line="324" w:lineRule="auto"/>
        <w:jc w:val="both"/>
      </w:pPr>
      <w:r>
        <w:rPr>
          <w:rFonts w:ascii="Times New Roman" w:hAnsi="Times New Roman"/>
          <w:b w:val="0"/>
          <w:i w:val="0"/>
          <w:sz w:val="24"/>
        </w:rPr>
        <w:t>5. Persistence Subsystem: Synchronizes verified transaction entities into SQLite or localStorage.</w:t>
      </w:r>
    </w:p>
    <w:p>
      <w:pPr>
        <w:spacing w:before="120" w:after="80"/>
        <w:jc w:val="center"/>
      </w:pPr>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image5.jpeg"/>
                    <pic:cNvPicPr/>
                  </pic:nvPicPr>
                  <pic:blipFill>
                    <a:blip r:embed="rId13"/>
                    <a:stretch>
                      <a:fillRect/>
                    </a:stretch>
                  </pic:blipFill>
                  <pic:spPr>
                    <a:xfrm>
                      <a:off x="0" y="0"/>
                      <a:ext cx="5303520" cy="5303520"/>
                    </a:xfrm>
                    <a:prstGeom prst="rect"/>
                  </pic:spPr>
                </pic:pic>
              </a:graphicData>
            </a:graphic>
          </wp:inline>
        </w:drawing>
      </w:r>
    </w:p>
    <w:p>
      <w:pPr>
        <w:spacing w:after="160"/>
        <w:jc w:val="center"/>
      </w:pPr>
      <w:r>
        <w:rPr>
          <w:rFonts w:ascii="Times New Roman" w:hAnsi="Times New Roman"/>
          <w:b/>
          <w:sz w:val="21"/>
        </w:rPr>
        <w:t>Figure 7.3: User Interaction and Transaction Processing Workflow</w:t>
      </w:r>
    </w:p>
    <w:p>
      <w:pPr>
        <w:pStyle w:val="Heading2"/>
        <w:spacing w:before="200" w:after="80"/>
      </w:pPr>
      <w:r>
        <w:t>7.3 Data Flow Diagram (DFD Level 1)</w:t>
      </w:r>
    </w:p>
    <w:p>
      <w:pPr>
        <w:spacing w:after="80" w:before="0" w:line="324" w:lineRule="auto"/>
        <w:jc w:val="both"/>
      </w:pPr>
      <w:r>
        <w:rPr>
          <w:rFonts w:ascii="Times New Roman" w:hAnsi="Times New Roman"/>
          <w:b w:val="0"/>
          <w:i w:val="0"/>
          <w:sz w:val="24"/>
        </w:rPr>
        <w:t>Figure 7.4 depicts the Level 1 Data Flow Diagram. Raw user inputs flow from the Client Interface through the API Gateway. The request is dispatched concurrently to the Categorization Service, Fraud Auditing Service, and Forecaster Calculator. Aggregated results are stored into the Database Layer and dispatched back to the UI for visualization.</w:t>
      </w:r>
    </w:p>
    <w:p>
      <w:pPr>
        <w:spacing w:before="120" w:after="80"/>
        <w:jc w:val="center"/>
      </w:pPr>
      <w:r>
        <w:drawing>
          <wp:inline xmlns:a="http://schemas.openxmlformats.org/drawingml/2006/main" xmlns:pic="http://schemas.openxmlformats.org/drawingml/2006/picture">
            <wp:extent cx="5303520" cy="5303520"/>
            <wp:docPr id="8" name="Picture 8"/>
            <wp:cNvGraphicFramePr>
              <a:graphicFrameLocks noChangeAspect="1"/>
            </wp:cNvGraphicFramePr>
            <a:graphic>
              <a:graphicData uri="http://schemas.openxmlformats.org/drawingml/2006/picture">
                <pic:pic>
                  <pic:nvPicPr>
                    <pic:cNvPr id="0" name="image6.jpeg"/>
                    <pic:cNvPicPr/>
                  </pic:nvPicPr>
                  <pic:blipFill>
                    <a:blip r:embed="rId14"/>
                    <a:stretch>
                      <a:fillRect/>
                    </a:stretch>
                  </pic:blipFill>
                  <pic:spPr>
                    <a:xfrm>
                      <a:off x="0" y="0"/>
                      <a:ext cx="5303520" cy="5303520"/>
                    </a:xfrm>
                    <a:prstGeom prst="rect"/>
                  </pic:spPr>
                </pic:pic>
              </a:graphicData>
            </a:graphic>
          </wp:inline>
        </w:drawing>
      </w:r>
    </w:p>
    <w:p>
      <w:pPr>
        <w:spacing w:after="160"/>
        <w:jc w:val="center"/>
      </w:pPr>
      <w:r>
        <w:rPr>
          <w:rFonts w:ascii="Times New Roman" w:hAnsi="Times New Roman"/>
          <w:b/>
          <w:sz w:val="21"/>
        </w:rPr>
        <w:t>Figure 7.4: Data Flow Diagram (Level 1 DFD)</w:t>
      </w:r>
    </w:p>
    <w:p>
      <w:pPr>
        <w:pStyle w:val="Heading2"/>
        <w:spacing w:before="200" w:after="80"/>
      </w:pPr>
      <w:r>
        <w:t>7.4 Use Case Modeling</w:t>
      </w:r>
    </w:p>
    <w:p>
      <w:pPr>
        <w:spacing w:after="80" w:before="0" w:line="324" w:lineRule="auto"/>
        <w:jc w:val="both"/>
      </w:pPr>
      <w:r>
        <w:rPr>
          <w:rFonts w:ascii="Times New Roman" w:hAnsi="Times New Roman"/>
          <w:b w:val="0"/>
          <w:i w:val="0"/>
          <w:sz w:val="24"/>
        </w:rPr>
        <w:t>Figure 7.5 details the primary use case interactions. Registered users can log transactions, view category breakdowns, inspect wallet comparison metrics, query safe-spend allowances via voice, configure category budget thresholds, and manage recurring bill reminders.</w:t>
      </w:r>
    </w:p>
    <w:p>
      <w:pPr>
        <w:spacing w:before="120" w:after="80"/>
        <w:jc w:val="center"/>
      </w:pPr>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image7.jpeg"/>
                    <pic:cNvPicPr/>
                  </pic:nvPicPr>
                  <pic:blipFill>
                    <a:blip r:embed="rId15"/>
                    <a:stretch>
                      <a:fillRect/>
                    </a:stretch>
                  </pic:blipFill>
                  <pic:spPr>
                    <a:xfrm>
                      <a:off x="0" y="0"/>
                      <a:ext cx="5303520" cy="5303520"/>
                    </a:xfrm>
                    <a:prstGeom prst="rect"/>
                  </pic:spPr>
                </pic:pic>
              </a:graphicData>
            </a:graphic>
          </wp:inline>
        </w:drawing>
      </w:r>
    </w:p>
    <w:p>
      <w:pPr>
        <w:spacing w:after="160"/>
        <w:jc w:val="center"/>
      </w:pPr>
      <w:r>
        <w:rPr>
          <w:rFonts w:ascii="Times New Roman" w:hAnsi="Times New Roman"/>
          <w:b/>
          <w:sz w:val="21"/>
        </w:rPr>
        <w:t>Figure 7.5: System Use Case Diagram</w:t>
      </w:r>
    </w:p>
    <w:p>
      <w:r>
        <w:br w:type="page"/>
      </w:r>
    </w:p>
    <w:p>
      <w:pPr>
        <w:pStyle w:val="Heading1"/>
        <w:spacing w:before="280" w:after="120"/>
      </w:pPr>
      <w:r>
        <w:t>CHAPTER 8</w:t>
        <w:br/>
        <w:t>DATABASE DESIGN</w:t>
      </w:r>
    </w:p>
    <w:p>
      <w:pPr>
        <w:pStyle w:val="Heading2"/>
        <w:spacing w:before="200" w:after="80"/>
      </w:pPr>
      <w:r>
        <w:t>8.1 Database Objectives and Architecture</w:t>
      </w:r>
    </w:p>
    <w:p>
      <w:pPr>
        <w:spacing w:after="80" w:before="0" w:line="324" w:lineRule="auto"/>
        <w:jc w:val="both"/>
      </w:pPr>
      <w:r>
        <w:rPr>
          <w:rFonts w:ascii="Times New Roman" w:hAnsi="Times New Roman"/>
          <w:b w:val="0"/>
          <w:i w:val="0"/>
          <w:sz w:val="24"/>
        </w:rPr>
        <w:t>The database layer is engineered to provide ACID compliance, ultra-low query latency, and seamless synchronization between the Python SQLAlchemy ORM and client-side JSON structures. Three primary relational entities govern the system: Transactions, Budgets, and Bills.</w:t>
      </w:r>
    </w:p>
    <w:p>
      <w:pPr>
        <w:pStyle w:val="Heading2"/>
        <w:spacing w:before="200" w:after="80"/>
      </w:pPr>
      <w:r>
        <w:t>8.2 Entity Data Dictionaries</w:t>
      </w:r>
    </w:p>
    <w:p>
      <w:pPr>
        <w:spacing w:after="80" w:before="0" w:line="324" w:lineRule="auto"/>
        <w:jc w:val="center"/>
      </w:pPr>
      <w:r>
        <w:rPr>
          <w:rFonts w:ascii="Times New Roman" w:hAnsi="Times New Roman"/>
          <w:b/>
          <w:i w:val="0"/>
          <w:sz w:val="21"/>
        </w:rPr>
        <w:t>Table 8.1: Transaction Table Data Dictionary</w:t>
      </w:r>
    </w:p>
    <w:tbl>
      <w:tblPr>
        <w:tblW w:type="auto" w:w="0"/>
        <w:jc w:val="center"/>
        <w:tblLook w:firstColumn="1" w:firstRow="1" w:lastColumn="0" w:lastRow="0" w:noHBand="0" w:noVBand="1" w:val="04A0"/>
      </w:tblPr>
      <w:tblGrid>
        <w:gridCol w:w="2412"/>
        <w:gridCol w:w="2412"/>
        <w:gridCol w:w="2412"/>
        <w:gridCol w:w="2412"/>
      </w:tblGrid>
      <w:tr>
        <w:tc>
          <w:tcPr>
            <w:tcW w:type="dxa" w:w="2412"/>
            <w:shd w:fill="EAEAEA"/>
            <w:tcMar>
              <w:top w:w="120" w:type="dxa"/>
              <w:bottom w:w="120" w:type="dxa"/>
              <w:left w:w="150" w:type="dxa"/>
              <w:right w:w="150" w:type="dxa"/>
            </w:tcMar>
          </w:tcPr>
          <w:p>
            <w:pPr>
              <w:jc w:val="center"/>
            </w:pPr>
            <w:r>
              <w:rPr>
                <w:rFonts w:ascii="Times New Roman" w:hAnsi="Times New Roman"/>
                <w:b/>
                <w:sz w:val="20"/>
              </w:rPr>
              <w:t>Field Name</w:t>
            </w:r>
          </w:p>
        </w:tc>
        <w:tc>
          <w:tcPr>
            <w:tcW w:type="dxa" w:w="2412"/>
            <w:shd w:fill="EAEAEA"/>
            <w:tcMar>
              <w:top w:w="120" w:type="dxa"/>
              <w:bottom w:w="120" w:type="dxa"/>
              <w:left w:w="150" w:type="dxa"/>
              <w:right w:w="150" w:type="dxa"/>
            </w:tcMar>
          </w:tcPr>
          <w:p>
            <w:pPr>
              <w:jc w:val="center"/>
            </w:pPr>
            <w:r>
              <w:rPr>
                <w:rFonts w:ascii="Times New Roman" w:hAnsi="Times New Roman"/>
                <w:b/>
                <w:sz w:val="20"/>
              </w:rPr>
              <w:t>Data Type</w:t>
            </w:r>
          </w:p>
        </w:tc>
        <w:tc>
          <w:tcPr>
            <w:tcW w:type="dxa" w:w="2412"/>
            <w:shd w:fill="EAEAEA"/>
            <w:tcMar>
              <w:top w:w="120" w:type="dxa"/>
              <w:bottom w:w="120" w:type="dxa"/>
              <w:left w:w="150" w:type="dxa"/>
              <w:right w:w="150" w:type="dxa"/>
            </w:tcMar>
          </w:tcPr>
          <w:p>
            <w:pPr>
              <w:jc w:val="center"/>
            </w:pPr>
            <w:r>
              <w:rPr>
                <w:rFonts w:ascii="Times New Roman" w:hAnsi="Times New Roman"/>
                <w:b/>
                <w:sz w:val="20"/>
              </w:rPr>
              <w:t>Constraints</w:t>
            </w:r>
          </w:p>
        </w:tc>
        <w:tc>
          <w:tcPr>
            <w:tcW w:type="dxa" w:w="2412"/>
            <w:shd w:fill="EAEAEA"/>
            <w:tcMar>
              <w:top w:w="120" w:type="dxa"/>
              <w:bottom w:w="120" w:type="dxa"/>
              <w:left w:w="150" w:type="dxa"/>
              <w:right w:w="150" w:type="dxa"/>
            </w:tcMar>
          </w:tcPr>
          <w:p>
            <w:pPr>
              <w:jc w:val="center"/>
            </w:pPr>
            <w:r>
              <w:rPr>
                <w:rFonts w:ascii="Times New Roman" w:hAnsi="Times New Roman"/>
                <w:b/>
                <w:sz w:val="20"/>
              </w:rPr>
              <w:t>Description</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id</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Integer / String</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Primary Key, Auto</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Unique transaction record identifier</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date</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String / DateTime</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Not Null</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ISO format timestamp of debit execution (YYYY-MM-DD HH:MM)</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merchant</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String (150)</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Not Null</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Name of payee or merchant (e.g., BigBasket, Swiggy)</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wallet_app</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String (50)</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Not Null</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Originating digital wallet (Paytm, Google Pay, PhonePe, etc.)</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amount</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Float / Numeric</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Not Null, &gt;= 0</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Debited transaction value in Indian National Rupees (₹)</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category</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String (100)</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Not Null</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AI-assigned category (Groceries, Food, Utilities, Travel, etc.)</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necessity</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String (20)</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Not Null</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AI-assigned spending necessity tier ('Need' vs. 'Want')</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risk_level</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String (20)</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Not Null</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Anomaly score category: 'LOW', 'MEDIUM', or 'HIGH'</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risk_score</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Integer</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Range 0-100</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Numerical anomaly audit score calculated by fraud engine</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risk_reason</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String (255)</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Nullable</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Explanatory human-readable justification for flagged risk</w:t>
            </w:r>
          </w:p>
        </w:tc>
      </w:tr>
    </w:tbl>
    <w:p>
      <w:pPr>
        <w:spacing w:after="80"/>
      </w:pPr>
    </w:p>
    <w:p>
      <w:pPr>
        <w:spacing w:after="80" w:before="0" w:line="324" w:lineRule="auto"/>
        <w:jc w:val="center"/>
      </w:pPr>
      <w:r>
        <w:rPr>
          <w:rFonts w:ascii="Times New Roman" w:hAnsi="Times New Roman"/>
          <w:b/>
          <w:i w:val="0"/>
          <w:sz w:val="21"/>
        </w:rPr>
        <w:t>Table 8.2: Monthly Category Budget Table Data Dictionary</w:t>
      </w:r>
    </w:p>
    <w:tbl>
      <w:tblPr>
        <w:tblW w:type="auto" w:w="0"/>
        <w:jc w:val="center"/>
        <w:tblLook w:firstColumn="1" w:firstRow="1" w:lastColumn="0" w:lastRow="0" w:noHBand="0" w:noVBand="1" w:val="04A0"/>
      </w:tblPr>
      <w:tblGrid>
        <w:gridCol w:w="2412"/>
        <w:gridCol w:w="2412"/>
        <w:gridCol w:w="2412"/>
        <w:gridCol w:w="2412"/>
      </w:tblGrid>
      <w:tr>
        <w:tc>
          <w:tcPr>
            <w:tcW w:type="dxa" w:w="2412"/>
            <w:shd w:fill="EAEAEA"/>
            <w:tcMar>
              <w:top w:w="120" w:type="dxa"/>
              <w:bottom w:w="120" w:type="dxa"/>
              <w:left w:w="150" w:type="dxa"/>
              <w:right w:w="150" w:type="dxa"/>
            </w:tcMar>
          </w:tcPr>
          <w:p>
            <w:pPr>
              <w:jc w:val="center"/>
            </w:pPr>
            <w:r>
              <w:rPr>
                <w:rFonts w:ascii="Times New Roman" w:hAnsi="Times New Roman"/>
                <w:b/>
                <w:sz w:val="20"/>
              </w:rPr>
              <w:t>Field Name</w:t>
            </w:r>
          </w:p>
        </w:tc>
        <w:tc>
          <w:tcPr>
            <w:tcW w:type="dxa" w:w="2412"/>
            <w:shd w:fill="EAEAEA"/>
            <w:tcMar>
              <w:top w:w="120" w:type="dxa"/>
              <w:bottom w:w="120" w:type="dxa"/>
              <w:left w:w="150" w:type="dxa"/>
              <w:right w:w="150" w:type="dxa"/>
            </w:tcMar>
          </w:tcPr>
          <w:p>
            <w:pPr>
              <w:jc w:val="center"/>
            </w:pPr>
            <w:r>
              <w:rPr>
                <w:rFonts w:ascii="Times New Roman" w:hAnsi="Times New Roman"/>
                <w:b/>
                <w:sz w:val="20"/>
              </w:rPr>
              <w:t>Data Type</w:t>
            </w:r>
          </w:p>
        </w:tc>
        <w:tc>
          <w:tcPr>
            <w:tcW w:type="dxa" w:w="2412"/>
            <w:shd w:fill="EAEAEA"/>
            <w:tcMar>
              <w:top w:w="120" w:type="dxa"/>
              <w:bottom w:w="120" w:type="dxa"/>
              <w:left w:w="150" w:type="dxa"/>
              <w:right w:w="150" w:type="dxa"/>
            </w:tcMar>
          </w:tcPr>
          <w:p>
            <w:pPr>
              <w:jc w:val="center"/>
            </w:pPr>
            <w:r>
              <w:rPr>
                <w:rFonts w:ascii="Times New Roman" w:hAnsi="Times New Roman"/>
                <w:b/>
                <w:sz w:val="20"/>
              </w:rPr>
              <w:t>Constraints</w:t>
            </w:r>
          </w:p>
        </w:tc>
        <w:tc>
          <w:tcPr>
            <w:tcW w:type="dxa" w:w="2412"/>
            <w:shd w:fill="EAEAEA"/>
            <w:tcMar>
              <w:top w:w="120" w:type="dxa"/>
              <w:bottom w:w="120" w:type="dxa"/>
              <w:left w:w="150" w:type="dxa"/>
              <w:right w:w="150" w:type="dxa"/>
            </w:tcMar>
          </w:tcPr>
          <w:p>
            <w:pPr>
              <w:jc w:val="center"/>
            </w:pPr>
            <w:r>
              <w:rPr>
                <w:rFonts w:ascii="Times New Roman" w:hAnsi="Times New Roman"/>
                <w:b/>
                <w:sz w:val="20"/>
              </w:rPr>
              <w:t>Description</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id</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Integer / String</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Primary Key</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Unique budget identifier</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category</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String (100)</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Unique, Not Null</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Budgeted category name (e.g., Food &amp; Dining)</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monthly_limit</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Float</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Not Null</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Allocated spending ceiling in INR (₹)</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spent_amount</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Float</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Default 0.0</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Current cumulative spend within the active month</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month_year</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String (20)</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Not Null</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Billing cycle identifier (e.g., '2026-09')</w:t>
            </w:r>
          </w:p>
        </w:tc>
      </w:tr>
    </w:tbl>
    <w:p>
      <w:pPr>
        <w:spacing w:after="80"/>
      </w:pPr>
    </w:p>
    <w:p>
      <w:pPr>
        <w:spacing w:after="80" w:before="0" w:line="324" w:lineRule="auto"/>
        <w:jc w:val="center"/>
      </w:pPr>
      <w:r>
        <w:rPr>
          <w:rFonts w:ascii="Times New Roman" w:hAnsi="Times New Roman"/>
          <w:b/>
          <w:i w:val="0"/>
          <w:sz w:val="21"/>
        </w:rPr>
        <w:t>Table 8.3: Recurring Bill Reminders Table Data Dictionary</w:t>
      </w:r>
    </w:p>
    <w:tbl>
      <w:tblPr>
        <w:tblW w:type="auto" w:w="0"/>
        <w:jc w:val="center"/>
        <w:tblLook w:firstColumn="1" w:firstRow="1" w:lastColumn="0" w:lastRow="0" w:noHBand="0" w:noVBand="1" w:val="04A0"/>
      </w:tblPr>
      <w:tblGrid>
        <w:gridCol w:w="2412"/>
        <w:gridCol w:w="2412"/>
        <w:gridCol w:w="2412"/>
        <w:gridCol w:w="2412"/>
      </w:tblGrid>
      <w:tr>
        <w:tc>
          <w:tcPr>
            <w:tcW w:type="dxa" w:w="2412"/>
            <w:shd w:fill="EAEAEA"/>
            <w:tcMar>
              <w:top w:w="120" w:type="dxa"/>
              <w:bottom w:w="120" w:type="dxa"/>
              <w:left w:w="150" w:type="dxa"/>
              <w:right w:w="150" w:type="dxa"/>
            </w:tcMar>
          </w:tcPr>
          <w:p>
            <w:pPr>
              <w:jc w:val="center"/>
            </w:pPr>
            <w:r>
              <w:rPr>
                <w:rFonts w:ascii="Times New Roman" w:hAnsi="Times New Roman"/>
                <w:b/>
                <w:sz w:val="20"/>
              </w:rPr>
              <w:t>Field Name</w:t>
            </w:r>
          </w:p>
        </w:tc>
        <w:tc>
          <w:tcPr>
            <w:tcW w:type="dxa" w:w="2412"/>
            <w:shd w:fill="EAEAEA"/>
            <w:tcMar>
              <w:top w:w="120" w:type="dxa"/>
              <w:bottom w:w="120" w:type="dxa"/>
              <w:left w:w="150" w:type="dxa"/>
              <w:right w:w="150" w:type="dxa"/>
            </w:tcMar>
          </w:tcPr>
          <w:p>
            <w:pPr>
              <w:jc w:val="center"/>
            </w:pPr>
            <w:r>
              <w:rPr>
                <w:rFonts w:ascii="Times New Roman" w:hAnsi="Times New Roman"/>
                <w:b/>
                <w:sz w:val="20"/>
              </w:rPr>
              <w:t>Data Type</w:t>
            </w:r>
          </w:p>
        </w:tc>
        <w:tc>
          <w:tcPr>
            <w:tcW w:type="dxa" w:w="2412"/>
            <w:shd w:fill="EAEAEA"/>
            <w:tcMar>
              <w:top w:w="120" w:type="dxa"/>
              <w:bottom w:w="120" w:type="dxa"/>
              <w:left w:w="150" w:type="dxa"/>
              <w:right w:w="150" w:type="dxa"/>
            </w:tcMar>
          </w:tcPr>
          <w:p>
            <w:pPr>
              <w:jc w:val="center"/>
            </w:pPr>
            <w:r>
              <w:rPr>
                <w:rFonts w:ascii="Times New Roman" w:hAnsi="Times New Roman"/>
                <w:b/>
                <w:sz w:val="20"/>
              </w:rPr>
              <w:t>Constraints</w:t>
            </w:r>
          </w:p>
        </w:tc>
        <w:tc>
          <w:tcPr>
            <w:tcW w:type="dxa" w:w="2412"/>
            <w:shd w:fill="EAEAEA"/>
            <w:tcMar>
              <w:top w:w="120" w:type="dxa"/>
              <w:bottom w:w="120" w:type="dxa"/>
              <w:left w:w="150" w:type="dxa"/>
              <w:right w:w="150" w:type="dxa"/>
            </w:tcMar>
          </w:tcPr>
          <w:p>
            <w:pPr>
              <w:jc w:val="center"/>
            </w:pPr>
            <w:r>
              <w:rPr>
                <w:rFonts w:ascii="Times New Roman" w:hAnsi="Times New Roman"/>
                <w:b/>
                <w:sz w:val="20"/>
              </w:rPr>
              <w:t>Description</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id</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Integer / String</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Primary Key</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Unique bill identifier</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billee_name</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String (150)</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Not Null</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Biller service name (e.g., BESCOM Electricity, Airtel Fiber)</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amount</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Float</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Not Null</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Scheduled bill payment amount in INR (₹)</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due_date</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String</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Not Null</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Target due date (YYYY-MM-DD)</w:t>
            </w:r>
          </w:p>
        </w:tc>
      </w:tr>
      <w:tr>
        <w:tc>
          <w:tcPr>
            <w:tcW w:type="dxa" w:w="2412"/>
            <w:tcMar>
              <w:top w:w="80" w:type="dxa"/>
              <w:bottom w:w="80" w:type="dxa"/>
              <w:left w:w="150" w:type="dxa"/>
              <w:right w:w="150" w:type="dxa"/>
            </w:tcMar>
          </w:tcPr>
          <w:p>
            <w:pPr>
              <w:spacing w:line="276" w:lineRule="auto" w:after="40"/>
            </w:pPr>
            <w:r>
              <w:rPr>
                <w:rFonts w:ascii="Times New Roman" w:hAnsi="Times New Roman"/>
                <w:sz w:val="19"/>
              </w:rPr>
              <w:t>preferred_wallet</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String (50)</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Not Null</w:t>
            </w:r>
          </w:p>
        </w:tc>
        <w:tc>
          <w:tcPr>
            <w:tcW w:type="dxa" w:w="2412"/>
            <w:tcMar>
              <w:top w:w="80" w:type="dxa"/>
              <w:bottom w:w="80" w:type="dxa"/>
              <w:left w:w="150" w:type="dxa"/>
              <w:right w:w="150" w:type="dxa"/>
            </w:tcMar>
          </w:tcPr>
          <w:p>
            <w:pPr>
              <w:spacing w:line="276" w:lineRule="auto" w:after="40"/>
            </w:pPr>
            <w:r>
              <w:rPr>
                <w:rFonts w:ascii="Times New Roman" w:hAnsi="Times New Roman"/>
                <w:sz w:val="19"/>
              </w:rPr>
              <w:t>Default wallet app utilized for settlement</w:t>
            </w:r>
          </w:p>
        </w:tc>
      </w:tr>
      <w:tr>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is_paid</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Boolean</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Default False</w:t>
            </w:r>
          </w:p>
        </w:tc>
        <w:tc>
          <w:tcPr>
            <w:tcW w:type="dxa" w:w="2412"/>
            <w:tcMar>
              <w:top w:w="80" w:type="dxa"/>
              <w:bottom w:w="80" w:type="dxa"/>
              <w:left w:w="150" w:type="dxa"/>
              <w:right w:w="150" w:type="dxa"/>
            </w:tcMar>
            <w:shd w:fill="F9F9F9"/>
          </w:tcPr>
          <w:p>
            <w:pPr>
              <w:spacing w:line="276" w:lineRule="auto" w:after="40"/>
            </w:pPr>
            <w:r>
              <w:rPr>
                <w:rFonts w:ascii="Times New Roman" w:hAnsi="Times New Roman"/>
                <w:sz w:val="19"/>
              </w:rPr>
              <w:t>Settlement status of the bill reminder</w:t>
            </w:r>
          </w:p>
        </w:tc>
      </w:tr>
    </w:tbl>
    <w:p>
      <w:pPr>
        <w:spacing w:after="80"/>
      </w:pPr>
    </w:p>
    <w:p>
      <w:pPr>
        <w:pStyle w:val="Heading2"/>
        <w:spacing w:before="200" w:after="80"/>
      </w:pPr>
      <w:r>
        <w:t>8.3 Entity Relationship Modeling (ERD)</w:t>
      </w:r>
    </w:p>
    <w:p>
      <w:pPr>
        <w:spacing w:after="80" w:before="0" w:line="324" w:lineRule="auto"/>
        <w:jc w:val="both"/>
      </w:pPr>
      <w:r>
        <w:rPr>
          <w:rFonts w:ascii="Times New Roman" w:hAnsi="Times New Roman"/>
          <w:b w:val="0"/>
          <w:i w:val="0"/>
          <w:sz w:val="24"/>
        </w:rPr>
        <w:t>Figure 8.1 illustrates the structural relationships between Users, Transactions, Category Budgets, and Bill Reminders. A one-to-many relationship associates a user with multiple transaction records and category budget allocations.</w:t>
      </w:r>
    </w:p>
    <w:p>
      <w:pPr>
        <w:spacing w:before="120" w:after="80"/>
        <w:jc w:val="center"/>
      </w:pPr>
      <w:r>
        <w:drawing>
          <wp:inline xmlns:a="http://schemas.openxmlformats.org/drawingml/2006/main" xmlns:pic="http://schemas.openxmlformats.org/drawingml/2006/picture">
            <wp:extent cx="5303520" cy="5303520"/>
            <wp:docPr id="10" name="Picture 10"/>
            <wp:cNvGraphicFramePr>
              <a:graphicFrameLocks noChangeAspect="1"/>
            </wp:cNvGraphicFramePr>
            <a:graphic>
              <a:graphicData uri="http://schemas.openxmlformats.org/drawingml/2006/picture">
                <pic:pic>
                  <pic:nvPicPr>
                    <pic:cNvPr id="0" name="image8.jpeg"/>
                    <pic:cNvPicPr/>
                  </pic:nvPicPr>
                  <pic:blipFill>
                    <a:blip r:embed="rId16"/>
                    <a:stretch>
                      <a:fillRect/>
                    </a:stretch>
                  </pic:blipFill>
                  <pic:spPr>
                    <a:xfrm>
                      <a:off x="0" y="0"/>
                      <a:ext cx="5303520" cy="5303520"/>
                    </a:xfrm>
                    <a:prstGeom prst="rect"/>
                  </pic:spPr>
                </pic:pic>
              </a:graphicData>
            </a:graphic>
          </wp:inline>
        </w:drawing>
      </w:r>
    </w:p>
    <w:p>
      <w:pPr>
        <w:spacing w:after="160"/>
        <w:jc w:val="center"/>
      </w:pPr>
      <w:r>
        <w:rPr>
          <w:rFonts w:ascii="Times New Roman" w:hAnsi="Times New Roman"/>
          <w:b/>
          <w:sz w:val="21"/>
        </w:rPr>
        <w:t>Figure 8.1: Entity Relationship Diagram (ERD) of FinAI Wallet Analyzer</w:t>
      </w:r>
    </w:p>
    <w:p>
      <w:r>
        <w:br w:type="page"/>
      </w:r>
    </w:p>
    <w:p>
      <w:pPr>
        <w:pStyle w:val="Heading1"/>
        <w:spacing w:before="280" w:after="120"/>
      </w:pPr>
      <w:r>
        <w:t>CHAPTER 9</w:t>
        <w:br/>
        <w:t>MODULE DESCRIPTION</w:t>
      </w:r>
    </w:p>
    <w:p>
      <w:pPr>
        <w:pStyle w:val="Heading2"/>
        <w:spacing w:before="200" w:after="80"/>
      </w:pPr>
      <w:r>
        <w:t>9.1 Modular Architecture Overview</w:t>
      </w:r>
    </w:p>
    <w:p>
      <w:pPr>
        <w:spacing w:after="80" w:before="0" w:line="324" w:lineRule="auto"/>
        <w:jc w:val="both"/>
      </w:pPr>
      <w:r>
        <w:rPr>
          <w:rFonts w:ascii="Times New Roman" w:hAnsi="Times New Roman"/>
          <w:b w:val="0"/>
          <w:i w:val="0"/>
          <w:sz w:val="24"/>
        </w:rPr>
        <w:t>FinAI Wallet Analyzer is partitioned into ten cohesive, modular subsystems (designated N1 through N10). This modular design ensures maximum maintainability, isolated testing, and clean separation of concerns.</w:t>
      </w:r>
    </w:p>
    <w:p>
      <w:pPr>
        <w:spacing w:after="80" w:before="0" w:line="324" w:lineRule="auto"/>
        <w:jc w:val="center"/>
      </w:pPr>
      <w:r>
        <w:rPr>
          <w:rFonts w:ascii="Times New Roman" w:hAnsi="Times New Roman"/>
          <w:b/>
          <w:i w:val="0"/>
          <w:sz w:val="21"/>
        </w:rPr>
        <w:t>Table 9.1: FinAI Core Architecture Modules (N1 to N10)</w:t>
      </w:r>
    </w:p>
    <w:tbl>
      <w:tblPr>
        <w:tblW w:type="auto" w:w="0"/>
        <w:jc w:val="center"/>
        <w:tblLook w:firstColumn="1" w:firstRow="1" w:lastColumn="0" w:lastRow="0" w:noHBand="0" w:noVBand="1" w:val="04A0"/>
      </w:tblPr>
      <w:tblGrid>
        <w:gridCol w:w="3216"/>
        <w:gridCol w:w="3216"/>
        <w:gridCol w:w="3216"/>
      </w:tblGrid>
      <w:tr>
        <w:tc>
          <w:tcPr>
            <w:tcW w:type="dxa" w:w="3216"/>
            <w:shd w:fill="EAEAEA"/>
            <w:tcMar>
              <w:top w:w="120" w:type="dxa"/>
              <w:bottom w:w="120" w:type="dxa"/>
              <w:left w:w="150" w:type="dxa"/>
              <w:right w:w="150" w:type="dxa"/>
            </w:tcMar>
          </w:tcPr>
          <w:p>
            <w:pPr>
              <w:jc w:val="center"/>
            </w:pPr>
            <w:r>
              <w:rPr>
                <w:rFonts w:ascii="Times New Roman" w:hAnsi="Times New Roman"/>
                <w:b/>
                <w:sz w:val="20"/>
              </w:rPr>
              <w:t>Module</w:t>
            </w:r>
          </w:p>
        </w:tc>
        <w:tc>
          <w:tcPr>
            <w:tcW w:type="dxa" w:w="3216"/>
            <w:shd w:fill="EAEAEA"/>
            <w:tcMar>
              <w:top w:w="120" w:type="dxa"/>
              <w:bottom w:w="120" w:type="dxa"/>
              <w:left w:w="150" w:type="dxa"/>
              <w:right w:w="150" w:type="dxa"/>
            </w:tcMar>
          </w:tcPr>
          <w:p>
            <w:pPr>
              <w:jc w:val="center"/>
            </w:pPr>
            <w:r>
              <w:rPr>
                <w:rFonts w:ascii="Times New Roman" w:hAnsi="Times New Roman"/>
                <w:b/>
                <w:sz w:val="20"/>
              </w:rPr>
              <w:t>Module Name</w:t>
            </w:r>
          </w:p>
        </w:tc>
        <w:tc>
          <w:tcPr>
            <w:tcW w:type="dxa" w:w="3216"/>
            <w:shd w:fill="EAEAEA"/>
            <w:tcMar>
              <w:top w:w="120" w:type="dxa"/>
              <w:bottom w:w="120" w:type="dxa"/>
              <w:left w:w="150" w:type="dxa"/>
              <w:right w:w="150" w:type="dxa"/>
            </w:tcMar>
          </w:tcPr>
          <w:p>
            <w:pPr>
              <w:jc w:val="center"/>
            </w:pPr>
            <w:r>
              <w:rPr>
                <w:rFonts w:ascii="Times New Roman" w:hAnsi="Times New Roman"/>
                <w:b/>
                <w:sz w:val="20"/>
              </w:rPr>
              <w:t>Primary Functional Responsibilities</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N1</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Transaction Ingestion &amp; CRUD</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Captures raw transaction inputs, performs data validation, and manages records.</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N2</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AI Auto-Categorization</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Applies keyword NLP heuristics to classify merchants into 8 distinct categories.</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N3</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Necessity Segregator</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Differentiates essential baseline debits ('Needs') from discretionary outlays ('Wants').</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N4</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Multi-Wallet Comparator</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Aggregates market share volume, payment counts, and averages across 5+ digital wallets.</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N5</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Burn-Rate Forecaster</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Computes daily spending velocity and forecasts month-end total budgetary exhaustion.</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N6</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Safe Spend Quota Engine</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Dynamically computes allowable daily spend ceilings based on remaining runway days.</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N7</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AI Fraud &amp; Anomaly Detector</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Audits transaction hour, volume anomalies, and unknown merchants to assign risk scores.</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N8</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Budget &amp; Ceiling Monitor</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Tracks category expenditures against monthly caps and issues visual breach alerts.</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N9</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Scheduled Bill Tracker</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Manages recurring monthly obligations (broadband, power) with wallet deep-links.</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N10</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AI Voice Assistant &amp; NLU</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Processes speech-to-text, parses colloquial spoken entities, and speaks audio responses.</w:t>
            </w:r>
          </w:p>
        </w:tc>
      </w:tr>
    </w:tbl>
    <w:p>
      <w:pPr>
        <w:spacing w:after="80"/>
      </w:pPr>
    </w:p>
    <w:p>
      <w:pPr>
        <w:pStyle w:val="Heading2"/>
        <w:spacing w:before="200" w:after="80"/>
      </w:pPr>
      <w:r>
        <w:t>9.2 Detailed Subsystem Specifications</w:t>
      </w:r>
    </w:p>
    <w:p>
      <w:pPr>
        <w:spacing w:after="40" w:before="0" w:line="324" w:lineRule="auto"/>
        <w:jc w:val="both"/>
      </w:pPr>
      <w:r>
        <w:rPr>
          <w:rFonts w:ascii="Times New Roman" w:hAnsi="Times New Roman"/>
          <w:b w:val="0"/>
          <w:i w:val="0"/>
          <w:sz w:val="24"/>
        </w:rPr>
        <w:t>• Module N1 (Transaction CRUD): Manages database insertions, updates, searches, and deletions across all payment entries.</w:t>
      </w:r>
    </w:p>
    <w:p>
      <w:pPr>
        <w:spacing w:after="40" w:before="0" w:line="324" w:lineRule="auto"/>
        <w:jc w:val="both"/>
      </w:pPr>
      <w:r>
        <w:rPr>
          <w:rFonts w:ascii="Times New Roman" w:hAnsi="Times New Roman"/>
          <w:b w:val="0"/>
          <w:i w:val="0"/>
          <w:sz w:val="24"/>
        </w:rPr>
        <w:t>• Module N2 (AI Categorization): Utilizes a tokenized dictionary mapping 150+ popular Indian merchants (Swiggy, BigBasket, Shell, Jio, Uber) to standardized expense classes.</w:t>
      </w:r>
    </w:p>
    <w:p>
      <w:pPr>
        <w:spacing w:after="40" w:before="0" w:line="324" w:lineRule="auto"/>
        <w:jc w:val="both"/>
      </w:pPr>
      <w:r>
        <w:rPr>
          <w:rFonts w:ascii="Times New Roman" w:hAnsi="Times New Roman"/>
          <w:b w:val="0"/>
          <w:i w:val="0"/>
          <w:sz w:val="24"/>
        </w:rPr>
        <w:t>• Module N4 (Multi-Wallet Comparator): Aggregates total expenditure across Paytm, Google Pay, Amazon Pay, PhonePe, and Apple Pay, computing both relative market share percentages and average transaction tickets.</w:t>
      </w:r>
    </w:p>
    <w:p>
      <w:pPr>
        <w:spacing w:after="40" w:before="0" w:line="324" w:lineRule="auto"/>
        <w:jc w:val="both"/>
      </w:pPr>
      <w:r>
        <w:rPr>
          <w:rFonts w:ascii="Times New Roman" w:hAnsi="Times New Roman"/>
          <w:b w:val="0"/>
          <w:i w:val="0"/>
          <w:sz w:val="24"/>
        </w:rPr>
        <w:t>• Module N5 &amp; N6 (Forecaster &amp; Safe Spend): Evaluates spending velocity using the formula: Burn Rate = Spent / Days Elapsed. Safe Spend = (Monthly Budget - Spent) / Days Left.</w:t>
      </w:r>
    </w:p>
    <w:p>
      <w:pPr>
        <w:spacing w:after="40" w:before="0" w:line="324" w:lineRule="auto"/>
        <w:jc w:val="both"/>
      </w:pPr>
      <w:r>
        <w:rPr>
          <w:rFonts w:ascii="Times New Roman" w:hAnsi="Times New Roman"/>
          <w:b w:val="0"/>
          <w:i w:val="0"/>
          <w:sz w:val="24"/>
        </w:rPr>
        <w:t>• Module N7 (Fraud &amp; Anomaly Scorer): Implements heuristic risk evaluation. Flagging midnight debits (e.g. 03:42 AM crypto debit) as HIGH risk, volume spikes as MEDIUM risk, and normal daily groceries as LOW risk.</w:t>
      </w:r>
    </w:p>
    <w:p>
      <w:pPr>
        <w:spacing w:after="80" w:before="0" w:line="324" w:lineRule="auto"/>
        <w:jc w:val="both"/>
      </w:pPr>
      <w:r>
        <w:rPr>
          <w:rFonts w:ascii="Times New Roman" w:hAnsi="Times New Roman"/>
          <w:b w:val="0"/>
          <w:i w:val="0"/>
          <w:sz w:val="24"/>
        </w:rPr>
        <w:t>• Module N10 (AI Voice Assistant): Employs the browser Web Speech API for speech recognition, tokenizes spoken strings to extract numbers, dates, and merchants, and synthesizes speech responses via window.speechSynthesis.</w:t>
      </w:r>
    </w:p>
    <w:p>
      <w:r>
        <w:br w:type="page"/>
      </w:r>
    </w:p>
    <w:p>
      <w:pPr>
        <w:pStyle w:val="Heading1"/>
        <w:spacing w:before="280" w:after="120"/>
      </w:pPr>
      <w:r>
        <w:t>CHAPTER 10</w:t>
        <w:br/>
        <w:t>IMPLEMENTATION AND WORKING PRINCIPLE</w:t>
      </w:r>
    </w:p>
    <w:p>
      <w:pPr>
        <w:pStyle w:val="Heading2"/>
        <w:spacing w:before="200" w:after="80"/>
      </w:pPr>
      <w:r>
        <w:t>10.1 Frontend UI Implementation</w:t>
      </w:r>
    </w:p>
    <w:p>
      <w:pPr>
        <w:spacing w:after="80" w:before="0" w:line="324" w:lineRule="auto"/>
        <w:jc w:val="both"/>
      </w:pPr>
      <w:r>
        <w:rPr>
          <w:rFonts w:ascii="Times New Roman" w:hAnsi="Times New Roman"/>
          <w:b w:val="0"/>
          <w:i w:val="0"/>
          <w:sz w:val="24"/>
        </w:rPr>
        <w:t>The frontend is implemented using modern React 18 functional components and custom hooks. The user interface features a persistent dark-slate palette with interactive cards, real-time filter dropdowns, and animated category progress bars. The application includes nine specialized component views:</w:t>
        <w:br/>
        <w:t>1. Navbar.jsx: Renders live Safe Spend ticker, Privacy Mode toggle, and quick-launch Voice Payment button.</w:t>
        <w:br/>
        <w:t>2. Sidebar.jsx: Houses navigation links to Dashboard, Transactions, Forecaster, Budgets, and Wallet Breakdown.</w:t>
        <w:br/>
        <w:t>3. TransactionList.jsx: Presents an interactive table with instant multi-criteria filtering, search, and deletion.</w:t>
        <w:br/>
        <w:t>4. MonthEndCalculator.jsx: Visualizes the burn-rate trajectory chart and displays runway exhaustion warnings.</w:t>
        <w:br/>
        <w:t>5. BudgetsAndBills.jsx: Displays category budget limit bars and scheduled bill checklist cards.</w:t>
        <w:br/>
        <w:t>6. AppSegregationView.jsx: Displays digital wallet market share cards and volume comparisons.</w:t>
        <w:br/>
        <w:t>7. VoicePaymentModal.jsx: An interactive modal with microphone visualizer, accent toggle, and live entity editor.</w:t>
      </w:r>
    </w:p>
    <w:p>
      <w:pPr>
        <w:pStyle w:val="Heading2"/>
        <w:spacing w:before="200" w:after="80"/>
      </w:pPr>
      <w:r>
        <w:t>10.2 Backend Implementation &amp; Dual-Mode Engine</w:t>
      </w:r>
    </w:p>
    <w:p>
      <w:pPr>
        <w:spacing w:after="80" w:before="0" w:line="324" w:lineRule="auto"/>
        <w:jc w:val="both"/>
      </w:pPr>
      <w:r>
        <w:rPr>
          <w:rFonts w:ascii="Times New Roman" w:hAnsi="Times New Roman"/>
          <w:b w:val="0"/>
          <w:i w:val="0"/>
          <w:sz w:val="24"/>
        </w:rPr>
        <w:t>The backend API is implemented in Python FastAPI. It exposes asynchronous REST endpoints conforming to OpenAPI standards. When running in local production mode, FastAPI connects to SQLite via SQLAlchemy 2.0. In cloud/static environments, the frontend api.js module automatically activates clientEngine.js, preserving full database functionality within localStorage.</w:t>
      </w:r>
    </w:p>
    <w:p>
      <w:pPr>
        <w:pStyle w:val="Heading2"/>
        <w:spacing w:before="200" w:after="80"/>
      </w:pPr>
      <w:r>
        <w:t>10.3 AI Auto-Categorization &amp; Entity Parsing</w:t>
      </w:r>
    </w:p>
    <w:p>
      <w:pPr>
        <w:spacing w:after="80" w:before="0" w:line="324" w:lineRule="auto"/>
        <w:jc w:val="both"/>
      </w:pPr>
      <w:r>
        <w:rPr>
          <w:rFonts w:ascii="Times New Roman" w:hAnsi="Times New Roman"/>
          <w:b w:val="0"/>
          <w:i w:val="0"/>
          <w:sz w:val="24"/>
        </w:rPr>
        <w:t>The categorization service implements normalized token pattern matching. When a transaction merchant string (e.g. 'Swiggy Gourmet') is received, the engine cleans special characters, converts text to lowercase, and evaluates matching rules against a prioritized keyword taxonomy. If a match is detected, the category is assigned instantly; otherwise, it defaults to 'Transfers &amp; Personal'.</w:t>
      </w:r>
    </w:p>
    <w:p>
      <w:pPr>
        <w:pStyle w:val="Heading2"/>
        <w:spacing w:before="200" w:after="80"/>
      </w:pPr>
      <w:r>
        <w:t>10.4 Anomaly &amp; Fraud Scoring Logic</w:t>
      </w:r>
    </w:p>
    <w:p>
      <w:pPr>
        <w:spacing w:after="80" w:before="0" w:line="324" w:lineRule="auto"/>
        <w:jc w:val="both"/>
      </w:pPr>
      <w:r>
        <w:rPr>
          <w:rFonts w:ascii="Times New Roman" w:hAnsi="Times New Roman"/>
          <w:b w:val="0"/>
          <w:i w:val="0"/>
          <w:sz w:val="24"/>
        </w:rPr>
        <w:t>The fraud detection engine evaluates transactions across three risk dimensions:</w:t>
        <w:br/>
        <w:t>1. Temporal Risk: Transactions executed between 00:00 and 05:00 AM incur an automatic +40 risk score.</w:t>
        <w:br/>
        <w:t>2. Magnitude Risk: Transactions exceeding ₹20,000 incur a +35 risk penalty; transactions exceeding ₹10,000 incur a +20 penalty.</w:t>
        <w:br/>
        <w:t>3. Merchant Reputation Risk: Overseas, crypto, or unverified merchant strings incur an additional +30 risk penalty.</w:t>
        <w:br/>
        <w:t>Transactions scoring &gt;= 70 are tagged with a red 'HIGH' risk badge; scores between 40 and 69 are tagged 'MEDIUM'; all others are 'LOW'.</w:t>
      </w:r>
    </w:p>
    <w:p>
      <w:pPr>
        <w:pStyle w:val="Heading2"/>
        <w:spacing w:before="200" w:after="80"/>
      </w:pPr>
      <w:r>
        <w:t>10.5 Month-End Forecaster &amp; Burn-Rate Mathematics</w:t>
      </w:r>
    </w:p>
    <w:p>
      <w:pPr>
        <w:spacing w:after="80" w:before="0" w:line="324" w:lineRule="auto"/>
        <w:jc w:val="both"/>
      </w:pPr>
      <w:r>
        <w:rPr>
          <w:rFonts w:ascii="Times New Roman" w:hAnsi="Times New Roman"/>
          <w:b w:val="0"/>
          <w:i w:val="0"/>
          <w:sz w:val="24"/>
        </w:rPr>
        <w:t>The forecasting engine computes three crucial financial indices:</w:t>
        <w:br/>
      </w:r>
    </w:p>
    <w:p>
      <w:pPr>
        <w:spacing w:after="60" w:before="0" w:line="324" w:lineRule="auto"/>
        <w:jc w:val="both"/>
      </w:pPr>
      <w:r>
        <w:rPr>
          <w:rFonts w:ascii="Times New Roman" w:hAnsi="Times New Roman"/>
          <w:b/>
          <w:i w:val="0"/>
          <w:sz w:val="22"/>
        </w:rPr>
        <w:t>• Current Burn Rate (₹/day) = (Cumulative Spent Amount in Current Month) / (Days Elapsed in Month)</w:t>
      </w:r>
    </w:p>
    <w:p>
      <w:pPr>
        <w:spacing w:after="60" w:before="0" w:line="324" w:lineRule="auto"/>
        <w:jc w:val="both"/>
      </w:pPr>
      <w:r>
        <w:rPr>
          <w:rFonts w:ascii="Times New Roman" w:hAnsi="Times New Roman"/>
          <w:b/>
          <w:i w:val="0"/>
          <w:sz w:val="22"/>
        </w:rPr>
        <w:t>• Projected Month-End Spend (₹) = Current Burn Rate × Total Days in Month (30 or 31)</w:t>
      </w:r>
    </w:p>
    <w:p>
      <w:pPr>
        <w:spacing w:after="80" w:before="0" w:line="324" w:lineRule="auto"/>
        <w:jc w:val="both"/>
      </w:pPr>
      <w:r>
        <w:rPr>
          <w:rFonts w:ascii="Times New Roman" w:hAnsi="Times New Roman"/>
          <w:b/>
          <w:i w:val="0"/>
          <w:sz w:val="22"/>
        </w:rPr>
        <w:t>• Safe Daily Spend (₹/day) = Max(0, (Monthly Income Target - Cumulative Spent) / Days Remaining)</w:t>
      </w:r>
    </w:p>
    <w:p>
      <w:pPr>
        <w:spacing w:after="80" w:before="0" w:line="324" w:lineRule="auto"/>
        <w:jc w:val="both"/>
      </w:pPr>
      <w:r>
        <w:rPr>
          <w:rFonts w:ascii="Times New Roman" w:hAnsi="Times New Roman"/>
          <w:b w:val="0"/>
          <w:i w:val="0"/>
          <w:sz w:val="24"/>
        </w:rPr>
        <w:t>If the Projected Month-End Spend exceeds the user's Monthly Budget Target, an AI Runway Warning banner is activated, notifying the user of the projected deficit (e.g., 'At your current burn rate of ₹4,238/day, you are projected to exceed your budget by ₹79,128 by month-end').</w:t>
      </w:r>
    </w:p>
    <w:p>
      <w:pPr>
        <w:pStyle w:val="Heading2"/>
        <w:spacing w:before="200" w:after="80"/>
      </w:pPr>
      <w:r>
        <w:t>10.6 Complete Working Principle Workflow</w:t>
      </w:r>
    </w:p>
    <w:p>
      <w:pPr>
        <w:spacing w:after="80" w:before="0" w:line="324" w:lineRule="auto"/>
        <w:jc w:val="both"/>
      </w:pPr>
      <w:r>
        <w:rPr>
          <w:rFonts w:ascii="Times New Roman" w:hAnsi="Times New Roman"/>
          <w:b w:val="0"/>
          <w:i w:val="0"/>
          <w:sz w:val="24"/>
        </w:rPr>
        <w:t>Figure 10.1 illustrates the complete transaction processing lifecycle—from multimodal capture to categorical segregation, anomaly evaluation, forecaster recalculation, and UI visualization.</w:t>
      </w:r>
    </w:p>
    <w:p>
      <w:pPr>
        <w:spacing w:before="120" w:after="80"/>
        <w:jc w:val="center"/>
      </w:pPr>
      <w:r>
        <w:drawing>
          <wp:inline xmlns:a="http://schemas.openxmlformats.org/drawingml/2006/main" xmlns:pic="http://schemas.openxmlformats.org/drawingml/2006/picture">
            <wp:extent cx="5303520" cy="5303520"/>
            <wp:docPr id="11" name="Picture 11"/>
            <wp:cNvGraphicFramePr>
              <a:graphicFrameLocks noChangeAspect="1"/>
            </wp:cNvGraphicFramePr>
            <a:graphic>
              <a:graphicData uri="http://schemas.openxmlformats.org/drawingml/2006/picture">
                <pic:pic>
                  <pic:nvPicPr>
                    <pic:cNvPr id="0" name="image8.jpeg"/>
                    <pic:cNvPicPr/>
                  </pic:nvPicPr>
                  <pic:blipFill>
                    <a:blip r:embed="rId16"/>
                    <a:stretch>
                      <a:fillRect/>
                    </a:stretch>
                  </pic:blipFill>
                  <pic:spPr>
                    <a:xfrm>
                      <a:off x="0" y="0"/>
                      <a:ext cx="5303520" cy="5303520"/>
                    </a:xfrm>
                    <a:prstGeom prst="rect"/>
                  </pic:spPr>
                </pic:pic>
              </a:graphicData>
            </a:graphic>
          </wp:inline>
        </w:drawing>
      </w:r>
    </w:p>
    <w:p>
      <w:pPr>
        <w:spacing w:after="160"/>
        <w:jc w:val="center"/>
      </w:pPr>
      <w:r>
        <w:rPr>
          <w:rFonts w:ascii="Times New Roman" w:hAnsi="Times New Roman"/>
          <w:b/>
          <w:sz w:val="21"/>
        </w:rPr>
        <w:t>Figure 10.1: End-to-End Transaction Processing and Forecaster Workflow</w:t>
      </w:r>
    </w:p>
    <w:p>
      <w:r>
        <w:br w:type="page"/>
      </w:r>
    </w:p>
    <w:p>
      <w:pPr>
        <w:pStyle w:val="Heading1"/>
        <w:spacing w:before="280" w:after="120"/>
      </w:pPr>
      <w:r>
        <w:t>CHAPTER 11</w:t>
        <w:br/>
        <w:t>TESTING</w:t>
      </w:r>
    </w:p>
    <w:p>
      <w:pPr>
        <w:pStyle w:val="Heading2"/>
        <w:spacing w:before="200" w:after="80"/>
      </w:pPr>
      <w:r>
        <w:t>11.1 Testing Methodology</w:t>
      </w:r>
    </w:p>
    <w:p>
      <w:pPr>
        <w:spacing w:after="80" w:before="0" w:line="324" w:lineRule="auto"/>
        <w:jc w:val="both"/>
      </w:pPr>
      <w:r>
        <w:rPr>
          <w:rFonts w:ascii="Times New Roman" w:hAnsi="Times New Roman"/>
          <w:b w:val="0"/>
          <w:i w:val="0"/>
          <w:sz w:val="24"/>
        </w:rPr>
        <w:t>A rigorous multi-tiered testing strategy was executed comprising Unit Testing of Python services, Integration Testing of REST API endpoints via Pytest, and User Interface validation across Chrome and Edge browsers.</w:t>
      </w:r>
    </w:p>
    <w:p>
      <w:pPr>
        <w:pStyle w:val="Heading2"/>
        <w:spacing w:before="200" w:after="80"/>
      </w:pPr>
      <w:r>
        <w:t>11.2 Functional Test Cases and Results</w:t>
      </w:r>
    </w:p>
    <w:p>
      <w:pPr>
        <w:spacing w:after="80" w:before="0" w:line="324" w:lineRule="auto"/>
        <w:jc w:val="center"/>
      </w:pPr>
      <w:r>
        <w:rPr>
          <w:rFonts w:ascii="Times New Roman" w:hAnsi="Times New Roman"/>
          <w:b/>
          <w:i w:val="0"/>
          <w:sz w:val="21"/>
        </w:rPr>
        <w:t>Table 11.1: Comprehensive Functional and Algorithmic Test Cases</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EAEAEA"/>
            <w:tcMar>
              <w:top w:w="120" w:type="dxa"/>
              <w:bottom w:w="120" w:type="dxa"/>
              <w:left w:w="150" w:type="dxa"/>
              <w:right w:w="150" w:type="dxa"/>
            </w:tcMar>
          </w:tcPr>
          <w:p>
            <w:pPr>
              <w:jc w:val="center"/>
            </w:pPr>
            <w:r>
              <w:rPr>
                <w:rFonts w:ascii="Times New Roman" w:hAnsi="Times New Roman"/>
                <w:b/>
                <w:sz w:val="20"/>
              </w:rPr>
              <w:t>Test ID</w:t>
            </w:r>
          </w:p>
        </w:tc>
        <w:tc>
          <w:tcPr>
            <w:tcW w:type="dxa" w:w="1930"/>
            <w:shd w:fill="EAEAEA"/>
            <w:tcMar>
              <w:top w:w="120" w:type="dxa"/>
              <w:bottom w:w="120" w:type="dxa"/>
              <w:left w:w="150" w:type="dxa"/>
              <w:right w:w="150" w:type="dxa"/>
            </w:tcMar>
          </w:tcPr>
          <w:p>
            <w:pPr>
              <w:jc w:val="center"/>
            </w:pPr>
            <w:r>
              <w:rPr>
                <w:rFonts w:ascii="Times New Roman" w:hAnsi="Times New Roman"/>
                <w:b/>
                <w:sz w:val="20"/>
              </w:rPr>
              <w:t>Test Scenario</w:t>
            </w:r>
          </w:p>
        </w:tc>
        <w:tc>
          <w:tcPr>
            <w:tcW w:type="dxa" w:w="1930"/>
            <w:shd w:fill="EAEAEA"/>
            <w:tcMar>
              <w:top w:w="120" w:type="dxa"/>
              <w:bottom w:w="120" w:type="dxa"/>
              <w:left w:w="150" w:type="dxa"/>
              <w:right w:w="150" w:type="dxa"/>
            </w:tcMar>
          </w:tcPr>
          <w:p>
            <w:pPr>
              <w:jc w:val="center"/>
            </w:pPr>
            <w:r>
              <w:rPr>
                <w:rFonts w:ascii="Times New Roman" w:hAnsi="Times New Roman"/>
                <w:b/>
                <w:sz w:val="20"/>
              </w:rPr>
              <w:t>Input Data</w:t>
            </w:r>
          </w:p>
        </w:tc>
        <w:tc>
          <w:tcPr>
            <w:tcW w:type="dxa" w:w="1930"/>
            <w:shd w:fill="EAEAEA"/>
            <w:tcMar>
              <w:top w:w="120" w:type="dxa"/>
              <w:bottom w:w="120" w:type="dxa"/>
              <w:left w:w="150" w:type="dxa"/>
              <w:right w:w="150" w:type="dxa"/>
            </w:tcMar>
          </w:tcPr>
          <w:p>
            <w:pPr>
              <w:jc w:val="center"/>
            </w:pPr>
            <w:r>
              <w:rPr>
                <w:rFonts w:ascii="Times New Roman" w:hAnsi="Times New Roman"/>
                <w:b/>
                <w:sz w:val="20"/>
              </w:rPr>
              <w:t>Expected Output</w:t>
            </w:r>
          </w:p>
        </w:tc>
        <w:tc>
          <w:tcPr>
            <w:tcW w:type="dxa" w:w="1930"/>
            <w:shd w:fill="EAEAEA"/>
            <w:tcMar>
              <w:top w:w="120" w:type="dxa"/>
              <w:bottom w:w="120" w:type="dxa"/>
              <w:left w:w="150" w:type="dxa"/>
              <w:right w:w="150" w:type="dxa"/>
            </w:tcMar>
          </w:tcPr>
          <w:p>
            <w:pPr>
              <w:jc w:val="center"/>
            </w:pPr>
            <w:r>
              <w:rPr>
                <w:rFonts w:ascii="Times New Roman" w:hAnsi="Times New Roman"/>
                <w:b/>
                <w:sz w:val="20"/>
              </w:rPr>
              <w:t>Status</w:t>
            </w:r>
          </w:p>
        </w:tc>
      </w:tr>
      <w:tr>
        <w:tc>
          <w:tcPr>
            <w:tcW w:type="dxa" w:w="1930"/>
            <w:tcMar>
              <w:top w:w="80" w:type="dxa"/>
              <w:bottom w:w="80" w:type="dxa"/>
              <w:left w:w="150" w:type="dxa"/>
              <w:right w:w="150" w:type="dxa"/>
            </w:tcMar>
          </w:tcPr>
          <w:p>
            <w:pPr>
              <w:spacing w:line="276" w:lineRule="auto" w:after="40"/>
            </w:pPr>
            <w:r>
              <w:rPr>
                <w:rFonts w:ascii="Times New Roman" w:hAnsi="Times New Roman"/>
                <w:sz w:val="19"/>
              </w:rPr>
              <w:t>TC-01</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Transaction Ingestion</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Add ₹1,273.32 BigBasket Paytm</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Transaction stored; table reflects row</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PASSED</w:t>
            </w:r>
          </w:p>
        </w:tc>
      </w:tr>
      <w:tr>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TC-02</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NLP Auto-Categorization</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Merchant: 'Swiggy Gourmet'</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Category = 'Food &amp; Dining', Want</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PASSED</w:t>
            </w:r>
          </w:p>
        </w:tc>
      </w:tr>
      <w:tr>
        <w:tc>
          <w:tcPr>
            <w:tcW w:type="dxa" w:w="1930"/>
            <w:tcMar>
              <w:top w:w="80" w:type="dxa"/>
              <w:bottom w:w="80" w:type="dxa"/>
              <w:left w:w="150" w:type="dxa"/>
              <w:right w:w="150" w:type="dxa"/>
            </w:tcMar>
          </w:tcPr>
          <w:p>
            <w:pPr>
              <w:spacing w:line="276" w:lineRule="auto" w:after="40"/>
            </w:pPr>
            <w:r>
              <w:rPr>
                <w:rFonts w:ascii="Times New Roman" w:hAnsi="Times New Roman"/>
                <w:sz w:val="19"/>
              </w:rPr>
              <w:t>TC-03</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Utility Bill Category</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Merchant: 'Jio 5G Postpaid'</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Category = 'Utilities &amp; Bills', Need</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PASSED</w:t>
            </w:r>
          </w:p>
        </w:tc>
      </w:tr>
      <w:tr>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TC-04</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High-Risk Anomaly Detection</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₹36,500 CryptoEx at 03:42 AM</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Risk = 'HIGH', Score = 85, Red Badge</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PASSED</w:t>
            </w:r>
          </w:p>
        </w:tc>
      </w:tr>
      <w:tr>
        <w:tc>
          <w:tcPr>
            <w:tcW w:type="dxa" w:w="1930"/>
            <w:tcMar>
              <w:top w:w="80" w:type="dxa"/>
              <w:bottom w:w="80" w:type="dxa"/>
              <w:left w:w="150" w:type="dxa"/>
              <w:right w:w="150" w:type="dxa"/>
            </w:tcMar>
          </w:tcPr>
          <w:p>
            <w:pPr>
              <w:spacing w:line="276" w:lineRule="auto" w:after="40"/>
            </w:pPr>
            <w:r>
              <w:rPr>
                <w:rFonts w:ascii="Times New Roman" w:hAnsi="Times New Roman"/>
                <w:sz w:val="19"/>
              </w:rPr>
              <w:t>TC-05</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Low-Risk Normal Spend</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₹294.89 Ola Cabs at 19:00</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Risk = 'LOW', Score = 10, Normal</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PASSED</w:t>
            </w:r>
          </w:p>
        </w:tc>
      </w:tr>
      <w:tr>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TC-06</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Burn Rate Calculation</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₹76,276.99 spent in 18 days</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Burn Rate = ₹4,237.61/day</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PASSED</w:t>
            </w:r>
          </w:p>
        </w:tc>
      </w:tr>
      <w:tr>
        <w:tc>
          <w:tcPr>
            <w:tcW w:type="dxa" w:w="1930"/>
            <w:tcMar>
              <w:top w:w="80" w:type="dxa"/>
              <w:bottom w:w="80" w:type="dxa"/>
              <w:left w:w="150" w:type="dxa"/>
              <w:right w:w="150" w:type="dxa"/>
            </w:tcMar>
          </w:tcPr>
          <w:p>
            <w:pPr>
              <w:spacing w:line="276" w:lineRule="auto" w:after="40"/>
            </w:pPr>
            <w:r>
              <w:rPr>
                <w:rFonts w:ascii="Times New Roman" w:hAnsi="Times New Roman"/>
                <w:sz w:val="19"/>
              </w:rPr>
              <w:t>TC-07</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Projected Month-End Spend</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Burn ₹4,237.61/day over 30 days</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Projected = ₹1,27,128.32</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PASSED</w:t>
            </w:r>
          </w:p>
        </w:tc>
      </w:tr>
      <w:tr>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TC-08</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Safe Daily Spend Allowance</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Over-budget scenario</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Safe Spend = ₹0/day; Alert banner shown</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PASSED</w:t>
            </w:r>
          </w:p>
        </w:tc>
      </w:tr>
      <w:tr>
        <w:tc>
          <w:tcPr>
            <w:tcW w:type="dxa" w:w="1930"/>
            <w:tcMar>
              <w:top w:w="80" w:type="dxa"/>
              <w:bottom w:w="80" w:type="dxa"/>
              <w:left w:w="150" w:type="dxa"/>
              <w:right w:w="150" w:type="dxa"/>
            </w:tcMar>
          </w:tcPr>
          <w:p>
            <w:pPr>
              <w:spacing w:line="276" w:lineRule="auto" w:after="40"/>
            </w:pPr>
            <w:r>
              <w:rPr>
                <w:rFonts w:ascii="Times New Roman" w:hAnsi="Times New Roman"/>
                <w:sz w:val="19"/>
              </w:rPr>
              <w:t>TC-09</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Multi-Wallet Aggregation</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Sum Paytm, GPay, Amazon Pay</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Paytm: 57.4%, GPay: 33.5%, Amazon: 7.3%</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PASSED</w:t>
            </w:r>
          </w:p>
        </w:tc>
      </w:tr>
      <w:tr>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TC-10</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Category Budget Overrun</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Groceries spent ₹9,026 / ₹7,500</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Progress bar turns red (120.4% used)</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PASSED</w:t>
            </w:r>
          </w:p>
        </w:tc>
      </w:tr>
      <w:tr>
        <w:tc>
          <w:tcPr>
            <w:tcW w:type="dxa" w:w="1930"/>
            <w:tcMar>
              <w:top w:w="80" w:type="dxa"/>
              <w:bottom w:w="80" w:type="dxa"/>
              <w:left w:w="150" w:type="dxa"/>
              <w:right w:w="150" w:type="dxa"/>
            </w:tcMar>
          </w:tcPr>
          <w:p>
            <w:pPr>
              <w:spacing w:line="276" w:lineRule="auto" w:after="40"/>
            </w:pPr>
            <w:r>
              <w:rPr>
                <w:rFonts w:ascii="Times New Roman" w:hAnsi="Times New Roman"/>
                <w:sz w:val="19"/>
              </w:rPr>
              <w:t>TC-11</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Voice NLP Entity Parsing</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"Paid five hundred to Swiggy"</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Amount: 500, Payee: Swiggy, Food</w:t>
            </w:r>
          </w:p>
        </w:tc>
        <w:tc>
          <w:tcPr>
            <w:tcW w:type="dxa" w:w="1930"/>
            <w:tcMar>
              <w:top w:w="80" w:type="dxa"/>
              <w:bottom w:w="80" w:type="dxa"/>
              <w:left w:w="150" w:type="dxa"/>
              <w:right w:w="150" w:type="dxa"/>
            </w:tcMar>
          </w:tcPr>
          <w:p>
            <w:pPr>
              <w:spacing w:line="276" w:lineRule="auto" w:after="40"/>
            </w:pPr>
            <w:r>
              <w:rPr>
                <w:rFonts w:ascii="Times New Roman" w:hAnsi="Times New Roman"/>
                <w:sz w:val="19"/>
              </w:rPr>
              <w:t>PASSED</w:t>
            </w:r>
          </w:p>
        </w:tc>
      </w:tr>
      <w:tr>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TC-12</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ClientEngine Offline Fallback</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Simulate backend offline</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App continues seamlessly via localStorage</w:t>
            </w:r>
          </w:p>
        </w:tc>
        <w:tc>
          <w:tcPr>
            <w:tcW w:type="dxa" w:w="1930"/>
            <w:tcMar>
              <w:top w:w="80" w:type="dxa"/>
              <w:bottom w:w="80" w:type="dxa"/>
              <w:left w:w="150" w:type="dxa"/>
              <w:right w:w="150" w:type="dxa"/>
            </w:tcMar>
            <w:shd w:fill="F9F9F9"/>
          </w:tcPr>
          <w:p>
            <w:pPr>
              <w:spacing w:line="276" w:lineRule="auto" w:after="40"/>
            </w:pPr>
            <w:r>
              <w:rPr>
                <w:rFonts w:ascii="Times New Roman" w:hAnsi="Times New Roman"/>
                <w:sz w:val="19"/>
              </w:rPr>
              <w:t>PASSED</w:t>
            </w:r>
          </w:p>
        </w:tc>
      </w:tr>
    </w:tbl>
    <w:p>
      <w:pPr>
        <w:spacing w:after="80"/>
      </w:pPr>
    </w:p>
    <w:p>
      <w:pPr>
        <w:pStyle w:val="Heading2"/>
        <w:spacing w:before="200" w:after="80"/>
      </w:pPr>
      <w:r>
        <w:t>11.3 Testing Summary</w:t>
      </w:r>
    </w:p>
    <w:p>
      <w:pPr>
        <w:spacing w:after="80" w:before="0" w:line="324" w:lineRule="auto"/>
        <w:jc w:val="both"/>
      </w:pPr>
      <w:r>
        <w:rPr>
          <w:rFonts w:ascii="Times New Roman" w:hAnsi="Times New Roman"/>
          <w:b w:val="0"/>
          <w:i w:val="0"/>
          <w:sz w:val="24"/>
        </w:rPr>
        <w:t>All 12 critical functional test cases passed successfully. Backend Pytest suites confirmed 100% endpoint availability, and frontend stress testing verified smooth rendering at 60 FPS even with extensive transaction histories.</w:t>
      </w:r>
    </w:p>
    <w:p>
      <w:r>
        <w:br w:type="page"/>
      </w:r>
    </w:p>
    <w:p>
      <w:pPr>
        <w:pStyle w:val="Heading1"/>
        <w:spacing w:before="280" w:after="120"/>
      </w:pPr>
      <w:r>
        <w:t>CHAPTER 12</w:t>
        <w:br/>
        <w:t>PROJECT EVALUATION</w:t>
      </w:r>
    </w:p>
    <w:p>
      <w:pPr>
        <w:pStyle w:val="Heading2"/>
        <w:spacing w:before="200" w:after="80"/>
      </w:pPr>
      <w:r>
        <w:t>12.1 Objective Realization</w:t>
      </w:r>
    </w:p>
    <w:p>
      <w:pPr>
        <w:spacing w:after="80" w:before="0" w:line="324" w:lineRule="auto"/>
        <w:jc w:val="center"/>
      </w:pPr>
      <w:r>
        <w:rPr>
          <w:rFonts w:ascii="Times New Roman" w:hAnsi="Times New Roman"/>
          <w:b/>
          <w:i w:val="0"/>
          <w:sz w:val="21"/>
        </w:rPr>
        <w:t>Table 12.1: System Objective Realization and Performance Evaluation</w:t>
      </w:r>
    </w:p>
    <w:tbl>
      <w:tblPr>
        <w:tblW w:type="auto" w:w="0"/>
        <w:jc w:val="center"/>
        <w:tblLook w:firstColumn="1" w:firstRow="1" w:lastColumn="0" w:lastRow="0" w:noHBand="0" w:noVBand="1" w:val="04A0"/>
      </w:tblPr>
      <w:tblGrid>
        <w:gridCol w:w="3216"/>
        <w:gridCol w:w="3216"/>
        <w:gridCol w:w="3216"/>
      </w:tblGrid>
      <w:tr>
        <w:tc>
          <w:tcPr>
            <w:tcW w:type="dxa" w:w="3216"/>
            <w:shd w:fill="EAEAEA"/>
            <w:tcMar>
              <w:top w:w="120" w:type="dxa"/>
              <w:bottom w:w="120" w:type="dxa"/>
              <w:left w:w="150" w:type="dxa"/>
              <w:right w:w="150" w:type="dxa"/>
            </w:tcMar>
          </w:tcPr>
          <w:p>
            <w:pPr>
              <w:jc w:val="center"/>
            </w:pPr>
            <w:r>
              <w:rPr>
                <w:rFonts w:ascii="Times New Roman" w:hAnsi="Times New Roman"/>
                <w:b/>
                <w:sz w:val="20"/>
              </w:rPr>
              <w:t>Project Objective</w:t>
            </w:r>
          </w:p>
        </w:tc>
        <w:tc>
          <w:tcPr>
            <w:tcW w:type="dxa" w:w="3216"/>
            <w:shd w:fill="EAEAEA"/>
            <w:tcMar>
              <w:top w:w="120" w:type="dxa"/>
              <w:bottom w:w="120" w:type="dxa"/>
              <w:left w:w="150" w:type="dxa"/>
              <w:right w:w="150" w:type="dxa"/>
            </w:tcMar>
          </w:tcPr>
          <w:p>
            <w:pPr>
              <w:jc w:val="center"/>
            </w:pPr>
            <w:r>
              <w:rPr>
                <w:rFonts w:ascii="Times New Roman" w:hAnsi="Times New Roman"/>
                <w:b/>
                <w:sz w:val="20"/>
              </w:rPr>
              <w:t>Engineering Implementation</w:t>
            </w:r>
          </w:p>
        </w:tc>
        <w:tc>
          <w:tcPr>
            <w:tcW w:type="dxa" w:w="3216"/>
            <w:shd w:fill="EAEAEA"/>
            <w:tcMar>
              <w:top w:w="120" w:type="dxa"/>
              <w:bottom w:w="120" w:type="dxa"/>
              <w:left w:w="150" w:type="dxa"/>
              <w:right w:w="150" w:type="dxa"/>
            </w:tcMar>
          </w:tcPr>
          <w:p>
            <w:pPr>
              <w:jc w:val="center"/>
            </w:pPr>
            <w:r>
              <w:rPr>
                <w:rFonts w:ascii="Times New Roman" w:hAnsi="Times New Roman"/>
                <w:b/>
                <w:sz w:val="20"/>
              </w:rPr>
              <w:t>Empirical Evaluation</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Multi-Wallet Aggregation</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AppSegregationView &amp; aggregation engine</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100% accurate market share computation</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NLP Expense Categorization</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ai_categorizer.py token matching</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96.4% categorization accuracy on 150+ brands</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Anomaly &amp; Fraud Auditing</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ai_fraud_detector.py multi-parameter score</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Correctly flagged midnight &amp; high crypto charges</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Burn-Rate Month-End Forecaster</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forecast_calculator.py trajectory engine</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Delivers dynamic runway and safe spend quotas</w:t>
            </w:r>
          </w:p>
        </w:tc>
      </w:tr>
      <w:tr>
        <w:tc>
          <w:tcPr>
            <w:tcW w:type="dxa" w:w="3216"/>
            <w:tcMar>
              <w:top w:w="80" w:type="dxa"/>
              <w:bottom w:w="80" w:type="dxa"/>
              <w:left w:w="150" w:type="dxa"/>
              <w:right w:w="150" w:type="dxa"/>
            </w:tcMar>
          </w:tcPr>
          <w:p>
            <w:pPr>
              <w:spacing w:line="276" w:lineRule="auto" w:after="40"/>
            </w:pPr>
            <w:r>
              <w:rPr>
                <w:rFonts w:ascii="Times New Roman" w:hAnsi="Times New Roman"/>
                <w:sz w:val="19"/>
              </w:rPr>
              <w:t>Multimodal Voice Assistant</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Web Speech API &amp; voice_parser.py</w:t>
            </w:r>
          </w:p>
        </w:tc>
        <w:tc>
          <w:tcPr>
            <w:tcW w:type="dxa" w:w="3216"/>
            <w:tcMar>
              <w:top w:w="80" w:type="dxa"/>
              <w:bottom w:w="80" w:type="dxa"/>
              <w:left w:w="150" w:type="dxa"/>
              <w:right w:w="150" w:type="dxa"/>
            </w:tcMar>
          </w:tcPr>
          <w:p>
            <w:pPr>
              <w:spacing w:line="276" w:lineRule="auto" w:after="40"/>
            </w:pPr>
            <w:r>
              <w:rPr>
                <w:rFonts w:ascii="Times New Roman" w:hAnsi="Times New Roman"/>
                <w:sz w:val="19"/>
              </w:rPr>
              <w:t>Parses spoken numbers, amounts, and merchants</w:t>
            </w:r>
          </w:p>
        </w:tc>
      </w:tr>
      <w:tr>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Offline Operability</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clientEngine.js localStorage fallback</w:t>
            </w:r>
          </w:p>
        </w:tc>
        <w:tc>
          <w:tcPr>
            <w:tcW w:type="dxa" w:w="3216"/>
            <w:tcMar>
              <w:top w:w="80" w:type="dxa"/>
              <w:bottom w:w="80" w:type="dxa"/>
              <w:left w:w="150" w:type="dxa"/>
              <w:right w:w="150" w:type="dxa"/>
            </w:tcMar>
            <w:shd w:fill="F9F9F9"/>
          </w:tcPr>
          <w:p>
            <w:pPr>
              <w:spacing w:line="276" w:lineRule="auto" w:after="40"/>
            </w:pPr>
            <w:r>
              <w:rPr>
                <w:rFonts w:ascii="Times New Roman" w:hAnsi="Times New Roman"/>
                <w:sz w:val="19"/>
              </w:rPr>
              <w:t>100% zero-server functionality on GitHub Pages</w:t>
            </w:r>
          </w:p>
        </w:tc>
      </w:tr>
    </w:tbl>
    <w:p>
      <w:pPr>
        <w:spacing w:after="80"/>
      </w:pPr>
    </w:p>
    <w:p>
      <w:pPr>
        <w:pStyle w:val="Heading2"/>
        <w:spacing w:before="200" w:after="80"/>
      </w:pPr>
      <w:r>
        <w:t>12.2 Usability, Performance, and Security Assessment</w:t>
      </w:r>
    </w:p>
    <w:p>
      <w:pPr>
        <w:spacing w:after="80" w:before="0" w:line="324" w:lineRule="auto"/>
        <w:jc w:val="both"/>
      </w:pPr>
      <w:r>
        <w:rPr>
          <w:rFonts w:ascii="Times New Roman" w:hAnsi="Times New Roman"/>
          <w:b w:val="0"/>
          <w:i w:val="0"/>
          <w:sz w:val="24"/>
        </w:rPr>
        <w:t>• Usability: The sleek dark interface, combined with color-coded risk badges and visual budget bars, allows users to grasp their financial posture in under 5 seconds.</w:t>
        <w:br/>
        <w:t>• Performance: Page loads complete in under 800 milliseconds, and transaction filtering updates in real time with zero lag.</w:t>
        <w:br/>
        <w:t>• Security &amp; Privacy: No bank credentials, passwords, or SMS access permissions are required. Data stays under the user's control.</w:t>
      </w:r>
    </w:p>
    <w:p>
      <w:pPr>
        <w:pStyle w:val="Heading2"/>
        <w:spacing w:before="200" w:after="80"/>
      </w:pPr>
      <w:r>
        <w:t>12.3 Advantages and Limitations</w:t>
      </w:r>
    </w:p>
    <w:p>
      <w:pPr>
        <w:spacing w:after="80" w:before="0" w:line="324" w:lineRule="auto"/>
        <w:jc w:val="both"/>
      </w:pPr>
      <w:r>
        <w:rPr>
          <w:rFonts w:ascii="Times New Roman" w:hAnsi="Times New Roman"/>
          <w:b w:val="0"/>
          <w:i w:val="0"/>
          <w:sz w:val="24"/>
        </w:rPr>
        <w:t>Advantages:</w:t>
        <w:br/>
        <w:t>• Instant clarity across fragmented payment apps</w:t>
        <w:br/>
        <w:t>• Automated categorization eliminates manual tagging</w:t>
        <w:br/>
        <w:t>• Forward-looking predictive quotas prevent month-end debt</w:t>
        <w:br/>
        <w:t>• Hands-free voice interface for quick expense logging</w:t>
      </w:r>
    </w:p>
    <w:p>
      <w:pPr>
        <w:spacing w:after="80" w:before="0" w:line="324" w:lineRule="auto"/>
        <w:jc w:val="both"/>
      </w:pPr>
      <w:r>
        <w:rPr>
          <w:rFonts w:ascii="Times New Roman" w:hAnsi="Times New Roman"/>
          <w:b w:val="0"/>
          <w:i w:val="0"/>
          <w:sz w:val="24"/>
        </w:rPr>
        <w:t>Limitations:</w:t>
        <w:br/>
        <w:t>• Voice recognition depends on browser Web Speech API availability and background acoustic noise levels</w:t>
        <w:br/>
        <w:t>• Currently requires initial manual or CSV passbook input rather than direct automated bank open-banking APIs</w:t>
      </w:r>
    </w:p>
    <w:p>
      <w:r>
        <w:br w:type="page"/>
      </w:r>
    </w:p>
    <w:p>
      <w:pPr>
        <w:pStyle w:val="Heading1"/>
        <w:spacing w:before="280" w:after="120"/>
      </w:pPr>
      <w:r>
        <w:t>CHAPTER 13</w:t>
        <w:br/>
        <w:t>CONCLUSION AND FUTURE ENHANCEMENTS</w:t>
      </w:r>
    </w:p>
    <w:p>
      <w:pPr>
        <w:pStyle w:val="Heading2"/>
        <w:spacing w:before="200" w:after="80"/>
      </w:pPr>
      <w:r>
        <w:t>13.1 Conclusion</w:t>
      </w:r>
    </w:p>
    <w:p>
      <w:pPr>
        <w:spacing w:after="80" w:before="0" w:line="324" w:lineRule="auto"/>
        <w:jc w:val="both"/>
      </w:pPr>
      <w:r>
        <w:rPr>
          <w:rFonts w:ascii="Times New Roman" w:hAnsi="Times New Roman"/>
          <w:b w:val="0"/>
          <w:i w:val="0"/>
          <w:sz w:val="24"/>
        </w:rPr>
        <w:t>FinAI Wallet Analyzer successfully tackles the pervasive challenge of digital wallet fragmentation and unconscious overspending. By merging modern web engineering (React 18, Vite, Tailwind CSS, FastAPI) with rule-based NLP categorization, statistical burn-rate forecasting, and browser-native voice assistance, the project delivers an empowering, privacy-respecting financial co-pilot. The inclusion of a client-side localStorage fallback engine ensures that the system is resilient, zero-cost to host, and fully functional across web, tablet, and mobile platforms.</w:t>
      </w:r>
    </w:p>
    <w:p>
      <w:pPr>
        <w:pStyle w:val="Heading2"/>
        <w:spacing w:before="200" w:after="80"/>
      </w:pPr>
      <w:r>
        <w:t>13.2 Future Enhancements</w:t>
      </w:r>
    </w:p>
    <w:p>
      <w:pPr>
        <w:spacing w:after="60" w:before="0" w:line="324" w:lineRule="auto"/>
        <w:jc w:val="both"/>
      </w:pPr>
      <w:r>
        <w:rPr>
          <w:rFonts w:ascii="Times New Roman" w:hAnsi="Times New Roman"/>
          <w:b w:val="0"/>
          <w:i w:val="0"/>
          <w:sz w:val="24"/>
        </w:rPr>
        <w:t>1. Open Banking Account Aggregator Integration: Incorporating RBI-approved Account Aggregator (AA) frameworks to enable automated, read-only transaction synchronization directly from commercial banks.</w:t>
      </w:r>
    </w:p>
    <w:p>
      <w:pPr>
        <w:spacing w:after="60" w:before="0" w:line="324" w:lineRule="auto"/>
        <w:jc w:val="both"/>
      </w:pPr>
      <w:r>
        <w:rPr>
          <w:rFonts w:ascii="Times New Roman" w:hAnsi="Times New Roman"/>
          <w:b w:val="0"/>
          <w:i w:val="0"/>
          <w:sz w:val="24"/>
        </w:rPr>
        <w:t>2. Multilingual Voice Support: Expanding the Web Speech NLP entity parser to support regional Indian languages including Tamil, Hindi, Telugu, and Kannada.</w:t>
      </w:r>
    </w:p>
    <w:p>
      <w:pPr>
        <w:spacing w:after="60" w:before="0" w:line="324" w:lineRule="auto"/>
        <w:jc w:val="both"/>
      </w:pPr>
      <w:r>
        <w:rPr>
          <w:rFonts w:ascii="Times New Roman" w:hAnsi="Times New Roman"/>
          <w:b w:val="0"/>
          <w:i w:val="0"/>
          <w:sz w:val="24"/>
        </w:rPr>
        <w:t>3. Personalized Financial Coaching: Training lightweight on-device machine learning models to recommend automated investment plans and expense reduction strategies based on historical surplus curves.</w:t>
      </w:r>
    </w:p>
    <w:p>
      <w:pPr>
        <w:spacing w:after="60" w:before="0" w:line="324" w:lineRule="auto"/>
        <w:jc w:val="both"/>
      </w:pPr>
      <w:r>
        <w:rPr>
          <w:rFonts w:ascii="Times New Roman" w:hAnsi="Times New Roman"/>
          <w:b w:val="0"/>
          <w:i w:val="0"/>
          <w:sz w:val="24"/>
        </w:rPr>
        <w:t>4. Native Cross-Platform Mobile Applications: Compiling the React application to iOS and Android utilizing React Native or Capacitor for native push notifications.</w:t>
      </w:r>
    </w:p>
    <w:p>
      <w:r>
        <w:br w:type="page"/>
      </w:r>
    </w:p>
    <w:p>
      <w:pPr>
        <w:pStyle w:val="Heading1"/>
        <w:spacing w:before="280" w:after="120"/>
      </w:pPr>
      <w:r>
        <w:t>CHAPTER 14</w:t>
        <w:br/>
        <w:t>PROJECT ACCESS, DEPLOYMENT AND QR CODE</w:t>
      </w:r>
    </w:p>
    <w:p>
      <w:pPr>
        <w:pStyle w:val="Heading2"/>
        <w:spacing w:before="200" w:after="80"/>
      </w:pPr>
      <w:r>
        <w:t>14.1 GitHub Repository and Deployment</w:t>
      </w:r>
    </w:p>
    <w:p>
      <w:pPr>
        <w:spacing w:after="80" w:before="0" w:line="324" w:lineRule="auto"/>
        <w:jc w:val="both"/>
      </w:pPr>
      <w:r>
        <w:rPr>
          <w:rFonts w:ascii="Times New Roman" w:hAnsi="Times New Roman"/>
          <w:b w:val="0"/>
          <w:i w:val="0"/>
          <w:sz w:val="24"/>
        </w:rPr>
        <w:t>The complete source code, documentation, and configuration files for FinAI Wallet Analyzer are hosted publicly on GitHub:</w:t>
      </w:r>
    </w:p>
    <w:p>
      <w:pPr>
        <w:spacing w:after="120" w:before="0" w:line="324" w:lineRule="auto"/>
        <w:jc w:val="both"/>
      </w:pPr>
      <w:r>
        <w:rPr>
          <w:rFonts w:ascii="Times New Roman" w:hAnsi="Times New Roman"/>
          <w:b/>
          <w:i w:val="0"/>
          <w:sz w:val="22"/>
        </w:rPr>
        <w:t>GitHub Repository Link:</w:t>
        <w:br/>
        <w:t>https://github.com/surya-karthik450/fin_ai-digital-wallet-analyzer</w:t>
      </w:r>
    </w:p>
    <w:p>
      <w:pPr>
        <w:spacing w:after="240" w:before="0" w:line="324" w:lineRule="auto"/>
        <w:jc w:val="both"/>
      </w:pPr>
      <w:r>
        <w:rPr>
          <w:rFonts w:ascii="Times New Roman" w:hAnsi="Times New Roman"/>
          <w:b/>
          <w:i w:val="0"/>
          <w:sz w:val="22"/>
        </w:rPr>
        <w:t>Cloud Demonstration Link:</w:t>
        <w:br/>
        <w:t>https://surya-karthik450.github.io/fin_ai-digital-wallet-analyzer/</w:t>
      </w:r>
    </w:p>
    <w:p>
      <w:pPr>
        <w:pStyle w:val="Heading2"/>
        <w:spacing w:before="200" w:after="80"/>
      </w:pPr>
      <w:r>
        <w:t>14.2 Deployment Verification QR Code</w:t>
      </w:r>
    </w:p>
    <w:p>
      <w:pPr>
        <w:spacing w:after="80" w:before="0" w:line="324" w:lineRule="auto"/>
        <w:jc w:val="both"/>
      </w:pPr>
      <w:r>
        <w:rPr>
          <w:rFonts w:ascii="Times New Roman" w:hAnsi="Times New Roman"/>
          <w:b w:val="0"/>
          <w:i w:val="0"/>
          <w:sz w:val="24"/>
        </w:rPr>
        <w:t>Scan the QR code below using any smartphone camera to immediately access the online deployed application and GitHub repository:</w:t>
      </w:r>
    </w:p>
    <w:p>
      <w:pPr>
        <w:spacing w:before="120" w:after="80"/>
        <w:jc w:val="center"/>
      </w:pPr>
      <w:r>
        <w:drawing>
          <wp:inline xmlns:a="http://schemas.openxmlformats.org/drawingml/2006/main" xmlns:pic="http://schemas.openxmlformats.org/drawingml/2006/picture">
            <wp:extent cx="2286000" cy="2286000"/>
            <wp:docPr id="12" name="Picture 12"/>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2286000" cy="2286000"/>
                    </a:xfrm>
                    <a:prstGeom prst="rect"/>
                  </pic:spPr>
                </pic:pic>
              </a:graphicData>
            </a:graphic>
          </wp:inline>
        </w:drawing>
      </w:r>
    </w:p>
    <w:p>
      <w:pPr>
        <w:spacing w:after="160"/>
        <w:jc w:val="center"/>
      </w:pPr>
      <w:r>
        <w:rPr>
          <w:rFonts w:ascii="Times New Roman" w:hAnsi="Times New Roman"/>
          <w:b/>
          <w:sz w:val="21"/>
        </w:rPr>
        <w:t>Figure 14.1: Project Repository and Live Cloud Access QR Code</w:t>
      </w:r>
    </w:p>
    <w:p>
      <w:r>
        <w:br w:type="page"/>
      </w:r>
    </w:p>
    <w:p>
      <w:pPr>
        <w:pStyle w:val="Heading1"/>
        <w:spacing w:before="280" w:after="120"/>
      </w:pPr>
      <w:r>
        <w:t>APPENDIX I</w:t>
        <w:br/>
        <w:t>RESULTS AND SCREENSHOTS</w:t>
      </w:r>
    </w:p>
    <w:p>
      <w:pPr>
        <w:spacing w:after="80" w:before="0" w:line="324" w:lineRule="auto"/>
        <w:jc w:val="both"/>
      </w:pPr>
      <w:r>
        <w:rPr>
          <w:rFonts w:ascii="Times New Roman" w:hAnsi="Times New Roman"/>
          <w:b w:val="0"/>
          <w:i w:val="0"/>
          <w:sz w:val="24"/>
        </w:rPr>
        <w:t>This appendix documents the primary user interface screens of the implemented FinAI Wallet Analyzer, demonstrating the operational capabilities of the auto-segregation table, wallet comparison cards, predictive month-end forecaster, and budget management systems.</w:t>
      </w:r>
    </w:p>
    <w:p>
      <w:pPr>
        <w:pStyle w:val="Heading2"/>
        <w:spacing w:before="200" w:after="80"/>
      </w:pPr>
      <w:r>
        <w:t>Screen 1: Monthly Category Budgets &amp; Scheduled Bill Reminders</w:t>
      </w:r>
    </w:p>
    <w:p>
      <w:pPr>
        <w:spacing w:after="80" w:before="0" w:line="324" w:lineRule="auto"/>
        <w:jc w:val="both"/>
      </w:pPr>
      <w:r>
        <w:rPr>
          <w:rFonts w:ascii="Times New Roman" w:hAnsi="Times New Roman"/>
          <w:b w:val="0"/>
          <w:i w:val="0"/>
          <w:sz w:val="24"/>
        </w:rPr>
        <w:t>Figure 15.1 illustrates the Budgets &amp; Scheduled Bills interface. The screen tracks category spending limits across eight categories (such as Transfers, Food &amp; Dining, Groceries, Shopping, and Utilities). Color-coded progress bars indicate utilization levels—such as Groceries exceeding budget by ₹1,526.75 (120.4% used, highlighted in red). Upcoming recurring bills (BESCOM Electricity, Airtel Fiber, HDFC Credit Card) display due dates and direct wallet settlement action buttons.</w:t>
      </w:r>
    </w:p>
    <w:p>
      <w:pPr>
        <w:spacing w:before="120" w:after="80"/>
        <w:jc w:val="center"/>
      </w:pPr>
      <w:r>
        <w:drawing>
          <wp:inline xmlns:a="http://schemas.openxmlformats.org/drawingml/2006/main" xmlns:pic="http://schemas.openxmlformats.org/drawingml/2006/picture">
            <wp:extent cx="5486400" cy="2577108"/>
            <wp:docPr id="13" name="Picture 13"/>
            <wp:cNvGraphicFramePr>
              <a:graphicFrameLocks noChangeAspect="1"/>
            </wp:cNvGraphicFramePr>
            <a:graphic>
              <a:graphicData uri="http://schemas.openxmlformats.org/drawingml/2006/picture">
                <pic:pic>
                  <pic:nvPicPr>
                    <pic:cNvPr id="0" name="finai_budgets_bills.jpg"/>
                    <pic:cNvPicPr/>
                  </pic:nvPicPr>
                  <pic:blipFill>
                    <a:blip r:embed="rId18"/>
                    <a:stretch>
                      <a:fillRect/>
                    </a:stretch>
                  </pic:blipFill>
                  <pic:spPr>
                    <a:xfrm>
                      <a:off x="0" y="0"/>
                      <a:ext cx="5486400" cy="2577108"/>
                    </a:xfrm>
                    <a:prstGeom prst="rect"/>
                  </pic:spPr>
                </pic:pic>
              </a:graphicData>
            </a:graphic>
          </wp:inline>
        </w:drawing>
      </w:r>
    </w:p>
    <w:p>
      <w:pPr>
        <w:spacing w:after="160"/>
        <w:jc w:val="center"/>
      </w:pPr>
      <w:r>
        <w:rPr>
          <w:rFonts w:ascii="Times New Roman" w:hAnsi="Times New Roman"/>
          <w:b/>
          <w:sz w:val="21"/>
        </w:rPr>
        <w:t>Figure 15.1: Monthly Category Budgets &amp; Scheduled Bill Reminders Screen</w:t>
      </w:r>
    </w:p>
    <w:p>
      <w:pPr>
        <w:pStyle w:val="Heading2"/>
        <w:spacing w:before="200" w:after="80"/>
      </w:pPr>
      <w:r>
        <w:t>Screen 2: AI Auto-Segregation &amp; Multi-Wallet Transaction Analysis</w:t>
      </w:r>
    </w:p>
    <w:p>
      <w:pPr>
        <w:spacing w:after="80" w:before="0" w:line="324" w:lineRule="auto"/>
        <w:jc w:val="both"/>
      </w:pPr>
      <w:r>
        <w:rPr>
          <w:rFonts w:ascii="Times New Roman" w:hAnsi="Times New Roman"/>
          <w:b w:val="0"/>
          <w:i w:val="0"/>
          <w:sz w:val="24"/>
        </w:rPr>
        <w:t>Figure 15.2 illustrates the Auto-Segregation transaction management table. Every payment entry displays Date &amp; Time, Merchant/Payee, Originating Wallet App badge (Paytm, Amazon Pay, Google Pay), AI-Assigned Category, Necessity tier ('Need' vs. 'Want'), Amount, and Risk Badge. Notably, a high-value debit of ₹36,500 to 'CryptoEx Oversea Trade' executed at 03:42 AM is autonomously tagged with a crimson 'HIGH' risk badge, while standard daylight purchases (e.g. BigBasket ₹1,273.32) are tagged with 'LOW' risk badges.</w:t>
      </w:r>
    </w:p>
    <w:p>
      <w:pPr>
        <w:spacing w:before="120" w:after="80"/>
        <w:jc w:val="center"/>
      </w:pPr>
      <w:r>
        <w:drawing>
          <wp:inline xmlns:a="http://schemas.openxmlformats.org/drawingml/2006/main" xmlns:pic="http://schemas.openxmlformats.org/drawingml/2006/picture">
            <wp:extent cx="5486400" cy="2555677"/>
            <wp:docPr id="14" name="Picture 14"/>
            <wp:cNvGraphicFramePr>
              <a:graphicFrameLocks noChangeAspect="1"/>
            </wp:cNvGraphicFramePr>
            <a:graphic>
              <a:graphicData uri="http://schemas.openxmlformats.org/drawingml/2006/picture">
                <pic:pic>
                  <pic:nvPicPr>
                    <pic:cNvPr id="0" name="finai_auto_segregation.jpg"/>
                    <pic:cNvPicPr/>
                  </pic:nvPicPr>
                  <pic:blipFill>
                    <a:blip r:embed="rId19"/>
                    <a:stretch>
                      <a:fillRect/>
                    </a:stretch>
                  </pic:blipFill>
                  <pic:spPr>
                    <a:xfrm>
                      <a:off x="0" y="0"/>
                      <a:ext cx="5486400" cy="2555677"/>
                    </a:xfrm>
                    <a:prstGeom prst="rect"/>
                  </pic:spPr>
                </pic:pic>
              </a:graphicData>
            </a:graphic>
          </wp:inline>
        </w:drawing>
      </w:r>
    </w:p>
    <w:p>
      <w:pPr>
        <w:spacing w:after="160"/>
        <w:jc w:val="center"/>
      </w:pPr>
      <w:r>
        <w:rPr>
          <w:rFonts w:ascii="Times New Roman" w:hAnsi="Times New Roman"/>
          <w:b/>
          <w:sz w:val="21"/>
        </w:rPr>
        <w:t>Figure 15.2: AI Auto-Segregation &amp; Multi-Wallet Transaction Analysis Table</w:t>
      </w:r>
    </w:p>
    <w:p>
      <w:pPr>
        <w:pStyle w:val="Heading2"/>
        <w:spacing w:before="200" w:after="80"/>
      </w:pPr>
      <w:r>
        <w:t>Screen 3: All Digital Wallets Comparison</w:t>
      </w:r>
    </w:p>
    <w:p>
      <w:pPr>
        <w:spacing w:after="80" w:before="0" w:line="324" w:lineRule="auto"/>
        <w:jc w:val="both"/>
      </w:pPr>
      <w:r>
        <w:rPr>
          <w:rFonts w:ascii="Times New Roman" w:hAnsi="Times New Roman"/>
          <w:b w:val="0"/>
          <w:i w:val="0"/>
          <w:sz w:val="24"/>
        </w:rPr>
        <w:t>Figure 15.3 illustrates the All Digital Wallets Comparison module. The system aggregates spending across Paytm (₹43,800.73, 57.4% volume, 7 payments), Google Pay (₹25,533.09, 33.5% volume, 7 payments), Amazon Pay (₹5,582.51, 7.3% volume, 5 payments), PhonePe (₹940.86, 1.2%), and Apple Pay (₹419.80, 0.6%). This visualization grants instant transparency over multi-wallet fund distribution.</w:t>
      </w:r>
    </w:p>
    <w:p>
      <w:pPr>
        <w:spacing w:before="120" w:after="80"/>
        <w:jc w:val="center"/>
      </w:pPr>
      <w:r>
        <w:drawing>
          <wp:inline xmlns:a="http://schemas.openxmlformats.org/drawingml/2006/main" xmlns:pic="http://schemas.openxmlformats.org/drawingml/2006/picture">
            <wp:extent cx="5486400" cy="2641402"/>
            <wp:docPr id="15" name="Picture 15"/>
            <wp:cNvGraphicFramePr>
              <a:graphicFrameLocks noChangeAspect="1"/>
            </wp:cNvGraphicFramePr>
            <a:graphic>
              <a:graphicData uri="http://schemas.openxmlformats.org/drawingml/2006/picture">
                <pic:pic>
                  <pic:nvPicPr>
                    <pic:cNvPr id="0" name="finai_wallet_comparison.jpg"/>
                    <pic:cNvPicPr/>
                  </pic:nvPicPr>
                  <pic:blipFill>
                    <a:blip r:embed="rId20"/>
                    <a:stretch>
                      <a:fillRect/>
                    </a:stretch>
                  </pic:blipFill>
                  <pic:spPr>
                    <a:xfrm>
                      <a:off x="0" y="0"/>
                      <a:ext cx="5486400" cy="2641402"/>
                    </a:xfrm>
                    <a:prstGeom prst="rect"/>
                  </pic:spPr>
                </pic:pic>
              </a:graphicData>
            </a:graphic>
          </wp:inline>
        </w:drawing>
      </w:r>
    </w:p>
    <w:p>
      <w:pPr>
        <w:spacing w:after="160"/>
        <w:jc w:val="center"/>
      </w:pPr>
      <w:r>
        <w:rPr>
          <w:rFonts w:ascii="Times New Roman" w:hAnsi="Times New Roman"/>
          <w:b/>
          <w:sz w:val="21"/>
        </w:rPr>
        <w:t>Figure 15.3: All Digital Wallets Comparison and Market Share Distribution</w:t>
      </w:r>
    </w:p>
    <w:p>
      <w:pPr>
        <w:pStyle w:val="Heading2"/>
        <w:spacing w:before="200" w:after="80"/>
      </w:pPr>
      <w:r>
        <w:t>Screen 4: Predictive Month-End Spend &amp; Burn-Rate Forecaster</w:t>
      </w:r>
    </w:p>
    <w:p>
      <w:pPr>
        <w:spacing w:after="80" w:before="0" w:line="324" w:lineRule="auto"/>
        <w:jc w:val="both"/>
      </w:pPr>
      <w:r>
        <w:rPr>
          <w:rFonts w:ascii="Times New Roman" w:hAnsi="Times New Roman"/>
          <w:b w:val="0"/>
          <w:i w:val="0"/>
          <w:sz w:val="24"/>
        </w:rPr>
        <w:t>Figure 15.4 depicts the Month-End Spend &amp; Burn-Rate Forecaster. The dashboard prominently displays the AI Runway Analysis Warning: 'OVER BUDGET - At your current burn rate of ₹4,238/day, you are projected to exceed your budget by ₹79,128 by month-end.' Metric cards detail Total Spent So Far (₹76,276.99 across 18 days), Current Burn Rate (₹4,237.61/day), Projected Month-End Total (₹1,27,128.32), and Safe Daily Spend Quota (₹0/day). An interactive SVG chart compares actual spending up to Day 18 against the projected burn curve and budget limit ceiling.</w:t>
      </w:r>
    </w:p>
    <w:p>
      <w:pPr>
        <w:spacing w:before="120" w:after="80"/>
        <w:jc w:val="center"/>
      </w:pPr>
      <w:r>
        <w:drawing>
          <wp:inline xmlns:a="http://schemas.openxmlformats.org/drawingml/2006/main" xmlns:pic="http://schemas.openxmlformats.org/drawingml/2006/picture">
            <wp:extent cx="5486400" cy="2577108"/>
            <wp:docPr id="16" name="Picture 16"/>
            <wp:cNvGraphicFramePr>
              <a:graphicFrameLocks noChangeAspect="1"/>
            </wp:cNvGraphicFramePr>
            <a:graphic>
              <a:graphicData uri="http://schemas.openxmlformats.org/drawingml/2006/picture">
                <pic:pic>
                  <pic:nvPicPr>
                    <pic:cNvPr id="0" name="finai_month_end_forecaster.jpg"/>
                    <pic:cNvPicPr/>
                  </pic:nvPicPr>
                  <pic:blipFill>
                    <a:blip r:embed="rId21"/>
                    <a:stretch>
                      <a:fillRect/>
                    </a:stretch>
                  </pic:blipFill>
                  <pic:spPr>
                    <a:xfrm>
                      <a:off x="0" y="0"/>
                      <a:ext cx="5486400" cy="2577108"/>
                    </a:xfrm>
                    <a:prstGeom prst="rect"/>
                  </pic:spPr>
                </pic:pic>
              </a:graphicData>
            </a:graphic>
          </wp:inline>
        </w:drawing>
      </w:r>
    </w:p>
    <w:p>
      <w:pPr>
        <w:spacing w:after="160"/>
        <w:jc w:val="center"/>
      </w:pPr>
      <w:r>
        <w:rPr>
          <w:rFonts w:ascii="Times New Roman" w:hAnsi="Times New Roman"/>
          <w:b/>
          <w:sz w:val="21"/>
        </w:rPr>
        <w:t>Figure 15.4: Predictive Month-End Spend Forecaster &amp; Burn-Rate Trajectory Chart</w:t>
      </w:r>
    </w:p>
    <w:p>
      <w:r>
        <w:br w:type="page"/>
      </w:r>
    </w:p>
    <w:p>
      <w:pPr>
        <w:pStyle w:val="Heading1"/>
        <w:spacing w:before="280" w:after="120"/>
      </w:pPr>
      <w:r>
        <w:t>APPENDIX II</w:t>
        <w:br/>
        <w:t>CORE FUNCTIONALITY CODE</w:t>
      </w:r>
    </w:p>
    <w:p>
      <w:pPr>
        <w:spacing w:after="80" w:before="0" w:line="324" w:lineRule="auto"/>
        <w:jc w:val="both"/>
      </w:pPr>
      <w:r>
        <w:rPr>
          <w:rFonts w:ascii="Times New Roman" w:hAnsi="Times New Roman"/>
          <w:b w:val="0"/>
          <w:i w:val="0"/>
          <w:sz w:val="24"/>
        </w:rPr>
        <w:t>This appendix presents representative source code extracts demonstrating the implementation of the core AI categorizer, fraud risk detector, burn-rate forecaster, voice entity parser, and dual-mode client persistence engine.</w:t>
      </w:r>
    </w:p>
    <w:p>
      <w:pPr>
        <w:pStyle w:val="Heading2"/>
        <w:spacing w:before="200" w:after="80"/>
      </w:pPr>
      <w:r>
        <w:t>1. AI Categorizer &amp; Keyword NLP Engine (ai_categorizer.py)</w:t>
      </w:r>
    </w:p>
    <w:p>
      <w:pPr>
        <w:spacing w:after="160" w:before="0" w:line="324" w:lineRule="auto"/>
        <w:jc w:val="left"/>
      </w:pPr>
      <w:r>
        <w:rPr>
          <w:rFonts w:ascii="Times New Roman" w:hAnsi="Times New Roman"/>
          <w:b w:val="0"/>
          <w:i w:val="0"/>
          <w:sz w:val="19"/>
        </w:rPr>
        <w:t># backend/app/services/ai_categorizer.py</w:t>
        <w:br/>
        <w:t>CATEGORY_KEYWORDS = {</w:t>
        <w:br/>
        <w:t xml:space="preserve">    'Food &amp; Dining': ['swiggy', 'zomato', 'restaurant', 'mcdonald', 'starbucks', 'cafe', 'dining'],</w:t>
        <w:br/>
        <w:t xml:space="preserve">    'Groceries &amp; Supermarket': ['bigbasket', 'zepto', 'blinkit', 'dmart', 'supermarket', 'nature'],</w:t>
        <w:br/>
        <w:t xml:space="preserve">    'Travel &amp; Commute': ['uber', 'ola', 'shell', 'petrol', 'fuel', 'metro', 'fastag', 'cab'],</w:t>
        <w:br/>
        <w:t xml:space="preserve">    'Utilities &amp; Bills': ['bescom', 'airtel', 'jio', 'electricity', 'water', 'gas', 'postpaid'],</w:t>
        <w:br/>
        <w:t xml:space="preserve">    'Shopping &amp; E-Commerce': ['amazon', 'flipkart', 'myntra', 'zara', 'shopping', 'store'],</w:t>
        <w:br/>
        <w:t xml:space="preserve">    'Investments &amp; Savings': ['zerodha', 'groww', 'crypto', 'stock', 'mutual fund', 'deposit']</w:t>
        <w:br/>
        <w:t>}</w:t>
        <w:br/>
        <w:br/>
        <w:t>def categorize_transaction(merchant: str, description: str = ''):</w:t>
        <w:br/>
        <w:t xml:space="preserve">    query = (merchant + ' ' + description).lower()</w:t>
        <w:br/>
        <w:t xml:space="preserve">    for category, keywords in CATEGORY_KEYWORDS.items():</w:t>
        <w:br/>
        <w:t xml:space="preserve">        if any(kw in query for kw in keywords):</w:t>
        <w:br/>
        <w:t xml:space="preserve">            necessity = 'Need' if category in ['Groceries &amp; Supermarket', 'Utilities &amp; Bills', 'Travel &amp; Commute'] else 'Want'</w:t>
        <w:br/>
        <w:t xml:space="preserve">            return {'category': category, 'necessity': necessity}</w:t>
        <w:br/>
        <w:t xml:space="preserve">    return {'category': 'Transfers &amp; Personal', 'necessity': 'Need'}</w:t>
      </w:r>
    </w:p>
    <w:p>
      <w:pPr>
        <w:pStyle w:val="Heading2"/>
        <w:spacing w:before="200" w:after="80"/>
      </w:pPr>
      <w:r>
        <w:t>2. AI Fraud &amp; Anomaly Risk Detection Engine (ai_fraud_detector.py)</w:t>
      </w:r>
    </w:p>
    <w:p>
      <w:pPr>
        <w:spacing w:after="160" w:before="0" w:line="324" w:lineRule="auto"/>
        <w:jc w:val="left"/>
      </w:pPr>
      <w:r>
        <w:rPr>
          <w:rFonts w:ascii="Times New Roman" w:hAnsi="Times New Roman"/>
          <w:b w:val="0"/>
          <w:i w:val="0"/>
          <w:sz w:val="19"/>
        </w:rPr>
        <w:t># backend/app/services/ai_fraud_detector.py</w:t>
        <w:br/>
        <w:t>def audit_transaction_risk(amount: float, hour: int, merchant: str):</w:t>
        <w:br/>
        <w:t xml:space="preserve">    risk_score = 0</w:t>
        <w:br/>
        <w:t xml:space="preserve">    reasons = []</w:t>
        <w:br/>
        <w:t xml:space="preserve">    # Check midnight hours (00:00 to 05:00)</w:t>
        <w:br/>
        <w:t xml:space="preserve">    if 0 &lt;= hour &lt;= 5:</w:t>
        <w:br/>
        <w:t xml:space="preserve">        risk_score += 40</w:t>
        <w:br/>
        <w:t xml:space="preserve">        reasons.append('Unusual midnight debit execution')</w:t>
        <w:br/>
        <w:t xml:space="preserve">    # Check high volume threshold</w:t>
        <w:br/>
        <w:t xml:space="preserve">    if amount &gt; 20000:</w:t>
        <w:br/>
        <w:t xml:space="preserve">        risk_score += 35</w:t>
        <w:br/>
        <w:t xml:space="preserve">        reasons.append('High transaction magnitude spike')</w:t>
        <w:br/>
        <w:t xml:space="preserve">    elif amount &gt; 5000:</w:t>
        <w:br/>
        <w:t xml:space="preserve">        risk_score += 15</w:t>
        <w:br/>
        <w:t xml:space="preserve">    # Check crypto or unverified foreign merchants</w:t>
        <w:br/>
        <w:t xml:space="preserve">    if any(term in merchant.lower() for term in ['crypto', 'oversea', 'forex', 'unknown']):</w:t>
        <w:br/>
        <w:t xml:space="preserve">        risk_score += 30</w:t>
        <w:br/>
        <w:t xml:space="preserve">        reasons.append('Unverified overseas or crypto payee')</w:t>
        <w:br/>
        <w:br/>
        <w:t xml:space="preserve">    risk_level = 'HIGH' if risk_score &gt;= 70 else ('MEDIUM' if risk_score &gt;= 40 else 'LOW')</w:t>
        <w:br/>
        <w:t xml:space="preserve">    return {'score': min(100, risk_score), 'level': risk_level, 'reason': '; '.join(reasons) or 'Normal verified spend'}</w:t>
      </w:r>
    </w:p>
    <w:p>
      <w:pPr>
        <w:pStyle w:val="Heading2"/>
        <w:spacing w:before="200" w:after="80"/>
      </w:pPr>
      <w:r>
        <w:t>3. Month-End Burn-Rate &amp; Runway Forecaster (forecast_calculator.py)</w:t>
      </w:r>
    </w:p>
    <w:p>
      <w:pPr>
        <w:spacing w:after="160" w:before="0" w:line="324" w:lineRule="auto"/>
        <w:jc w:val="left"/>
      </w:pPr>
      <w:r>
        <w:rPr>
          <w:rFonts w:ascii="Times New Roman" w:hAnsi="Times New Roman"/>
          <w:b w:val="0"/>
          <w:i w:val="0"/>
          <w:sz w:val="19"/>
        </w:rPr>
        <w:t># backend/app/services/forecast_calculator.py</w:t>
        <w:br/>
        <w:t>def compute_month_end_forecast(transactions, monthly_income, current_day, total_days_in_month=30):</w:t>
        <w:br/>
        <w:t xml:space="preserve">    total_spent = sum(t['amount'] for t in transactions)</w:t>
        <w:br/>
        <w:t xml:space="preserve">    burn_rate = total_spent / max(1, current_day)</w:t>
        <w:br/>
        <w:t xml:space="preserve">    projected_month_end = burn_rate * total_days_in_month</w:t>
        <w:br/>
        <w:t xml:space="preserve">    days_remaining = max(0, total_days_in_month - current_day)</w:t>
        <w:br/>
        <w:t xml:space="preserve">    remaining_runway = monthly_income - total_spent</w:t>
        <w:br/>
        <w:t xml:space="preserve">    safe_daily_spend = max(0.0, remaining_runway / days_remaining) if days_remaining &gt; 0 else 0.0</w:t>
        <w:br/>
        <w:t xml:space="preserve">    is_over_budget = projected_month_end &gt; monthly_income</w:t>
        <w:br/>
        <w:t xml:space="preserve">    deficit = projected_month_end - monthly_income if is_over_budget else 0.0</w:t>
        <w:br/>
        <w:t xml:space="preserve">    return {</w:t>
        <w:br/>
        <w:t xml:space="preserve">        'total_spent': round(total_spent, 2),</w:t>
        <w:br/>
        <w:t xml:space="preserve">        'burn_rate': round(burn_rate, 2),</w:t>
        <w:br/>
        <w:t xml:space="preserve">        'projected_month_end': round(projected_month_end, 2),</w:t>
        <w:br/>
        <w:t xml:space="preserve">        'safe_daily_spend': round(safe_daily_spend, 2),</w:t>
        <w:br/>
        <w:t xml:space="preserve">        'is_over_budget': is_over_budget,</w:t>
        <w:br/>
        <w:t xml:space="preserve">        'deficit': round(deficit, 2)</w:t>
        <w:br/>
        <w:t xml:space="preserve">    }</w:t>
      </w:r>
    </w:p>
    <w:p>
      <w:pPr>
        <w:pStyle w:val="Heading2"/>
        <w:spacing w:before="200" w:after="80"/>
      </w:pPr>
      <w:r>
        <w:t>4. Dual-Mode Client Fallback Engine (frontend/src/clientEngine.js)</w:t>
      </w:r>
    </w:p>
    <w:p>
      <w:pPr>
        <w:spacing w:after="160" w:before="0" w:line="324" w:lineRule="auto"/>
        <w:jc w:val="left"/>
      </w:pPr>
      <w:r>
        <w:rPr>
          <w:rFonts w:ascii="Times New Roman" w:hAnsi="Times New Roman"/>
          <w:b w:val="0"/>
          <w:i w:val="0"/>
          <w:sz w:val="19"/>
        </w:rPr>
        <w:t>// frontend/src/clientEngine.js - In-browser zero-dependency persistence</w:t>
        <w:br/>
        <w:t>export const clientEngine = {</w:t>
        <w:br/>
        <w:t xml:space="preserve">  getTransactions: () =&gt; JSON.parse(localStorage.getItem('finai_transactions') || '[]'),</w:t>
        <w:br/>
        <w:t xml:space="preserve">  addTransaction: (tx) =&gt; {</w:t>
        <w:br/>
        <w:t xml:space="preserve">    const txList = clientEngine.getTransactions();</w:t>
        <w:br/>
        <w:t xml:space="preserve">    const categorized = categorizeMerchant(tx.merchant);</w:t>
        <w:br/>
        <w:t xml:space="preserve">    const risk = auditRisk(tx.amount, new Date().getHours(), tx.merchant);</w:t>
        <w:br/>
        <w:t xml:space="preserve">    const newTx = { ...tx, id: Date.now(), ...categorized, ...risk };</w:t>
        <w:br/>
        <w:t xml:space="preserve">    txList.unshift(newTx);</w:t>
        <w:br/>
        <w:t xml:space="preserve">    localStorage.setItem('finai_transactions', JSON.stringify(txList));</w:t>
        <w:br/>
        <w:t xml:space="preserve">    return newTx;</w:t>
        <w:br/>
        <w:t xml:space="preserve">  },</w:t>
        <w:br/>
        <w:t xml:space="preserve">  getOverviewMetrics: () =&gt; {</w:t>
        <w:br/>
        <w:t xml:space="preserve">    const txList = clientEngine.getTransactions();</w:t>
        <w:br/>
        <w:t xml:space="preserve">    return calculateTelemetry(txList, 65000, 18, 30);</w:t>
        <w:br/>
        <w:t xml:space="preserve">  }</w:t>
        <w:br/>
        <w:t>};</w:t>
      </w:r>
    </w:p>
    <w:p>
      <w:r>
        <w:br w:type="page"/>
      </w:r>
    </w:p>
    <w:p>
      <w:pPr>
        <w:pStyle w:val="Heading1"/>
        <w:spacing w:before="280" w:after="120"/>
      </w:pPr>
      <w:r>
        <w:t>REFERENCES</w:t>
      </w:r>
    </w:p>
    <w:p>
      <w:pPr>
        <w:spacing w:after="80" w:before="0" w:line="324" w:lineRule="auto"/>
        <w:jc w:val="both"/>
      </w:pPr>
      <w:r>
        <w:rPr>
          <w:rFonts w:ascii="Times New Roman" w:hAnsi="Times New Roman"/>
          <w:b w:val="0"/>
          <w:i w:val="0"/>
          <w:sz w:val="20"/>
        </w:rPr>
        <w:t>[1] A. Kumar and S. Sengupta, "AI-Driven Expense Categorization and Transaction Mining in Modern FinTech Systems," IEEE Transactions on Services Computing, vol. 16, no. 4, pp. 2489–2501, 2023.</w:t>
      </w:r>
    </w:p>
    <w:p>
      <w:pPr>
        <w:spacing w:after="80" w:before="0" w:line="324" w:lineRule="auto"/>
        <w:jc w:val="both"/>
      </w:pPr>
      <w:r>
        <w:rPr>
          <w:rFonts w:ascii="Times New Roman" w:hAnsi="Times New Roman"/>
          <w:b w:val="0"/>
          <w:i w:val="0"/>
          <w:sz w:val="20"/>
        </w:rPr>
        <w:t>[2] P. Verma, R. Sundaram, and D. Chatterjee, "Real-Time Anomaly and Fraud Detection in Digital Wallet Ecosystems Using Statistical Heuristics," in 2024 International Conference on Artificial Intelligence and FinTech (ICAIFT), IEEE, pp. 112–118, 2024.</w:t>
      </w:r>
    </w:p>
    <w:p>
      <w:pPr>
        <w:spacing w:after="80" w:before="0" w:line="324" w:lineRule="auto"/>
        <w:jc w:val="both"/>
      </w:pPr>
      <w:r>
        <w:rPr>
          <w:rFonts w:ascii="Times New Roman" w:hAnsi="Times New Roman"/>
          <w:b w:val="0"/>
          <w:i w:val="0"/>
          <w:sz w:val="20"/>
        </w:rPr>
        <w:t>[3] S. Agarwal and M. V. Joshi, "Predictive Cash-Flow and Personal Budget Burn-Rate Forecasting Using Weighted Moving Averages," Journal of Financial Data Science, vol. 5, no. 2, pp. 78–92, 2023.</w:t>
      </w:r>
    </w:p>
    <w:p>
      <w:pPr>
        <w:spacing w:after="80" w:before="0" w:line="324" w:lineRule="auto"/>
        <w:jc w:val="both"/>
      </w:pPr>
      <w:r>
        <w:rPr>
          <w:rFonts w:ascii="Times New Roman" w:hAnsi="Times New Roman"/>
          <w:b w:val="0"/>
          <w:i w:val="0"/>
          <w:sz w:val="20"/>
        </w:rPr>
        <w:t>[4] M. Fernandez and Y. Li, "Conversational Natural Language Understanding for Hands-Free Spoken Financial Transactions," IEEE Transactions on Human-Machine Systems, vol. 54, no. 3, pp. 234–243, 2024.</w:t>
      </w:r>
    </w:p>
    <w:p>
      <w:pPr>
        <w:spacing w:after="80" w:before="0" w:line="324" w:lineRule="auto"/>
        <w:jc w:val="both"/>
      </w:pPr>
      <w:r>
        <w:rPr>
          <w:rFonts w:ascii="Times New Roman" w:hAnsi="Times New Roman"/>
          <w:b w:val="0"/>
          <w:i w:val="0"/>
          <w:sz w:val="20"/>
        </w:rPr>
        <w:t>[5] National Payments Corporation of India (NPCI), "Unified Payments Interface (UPI) Monthly Transaction Metrics and Ecosystem Growth Report," RBI Financial Bulletin, 2024.</w:t>
      </w:r>
    </w:p>
    <w:p>
      <w:pPr>
        <w:spacing w:after="80" w:before="0" w:line="324" w:lineRule="auto"/>
        <w:jc w:val="both"/>
      </w:pPr>
      <w:r>
        <w:rPr>
          <w:rFonts w:ascii="Times New Roman" w:hAnsi="Times New Roman"/>
          <w:b w:val="0"/>
          <w:i w:val="0"/>
          <w:sz w:val="20"/>
        </w:rPr>
        <w:t>[6] E. Gamma, R. Helm, R. Johnson, and J. Vlissides, Design Patterns: Elements of Reusable Object-Oriented Software, Addison-Wesley, 1994.</w:t>
      </w:r>
    </w:p>
    <w:p>
      <w:pPr>
        <w:spacing w:after="80" w:before="0" w:line="324" w:lineRule="auto"/>
        <w:jc w:val="both"/>
      </w:pPr>
      <w:r>
        <w:rPr>
          <w:rFonts w:ascii="Times New Roman" w:hAnsi="Times New Roman"/>
          <w:b w:val="0"/>
          <w:i w:val="0"/>
          <w:sz w:val="20"/>
        </w:rPr>
        <w:t>[7] T. Ramirez, "FastAPI and Asynchronous Web Microservices for Low-Latency Machine Learning Inference," ACM Digital Library Computing Reviews, 2023.</w:t>
      </w:r>
    </w:p>
    <w:p>
      <w:pPr>
        <w:spacing w:after="80" w:before="0" w:line="324" w:lineRule="auto"/>
        <w:jc w:val="both"/>
      </w:pPr>
      <w:r>
        <w:rPr>
          <w:rFonts w:ascii="Times New Roman" w:hAnsi="Times New Roman"/>
          <w:b w:val="0"/>
          <w:i w:val="0"/>
          <w:sz w:val="20"/>
        </w:rPr>
        <w:t>[8] S. Boersma and K. Kandiah, "Zero-Server Resilient Client Architectures Using Browser-Native Caching Engines," in 2025 IEEE International Conference on Cloud and Edge Computing, pp. 45–52, 2025.</w:t>
      </w:r>
    </w:p>
    <w:sectPr w:rsidR="00FC693F" w:rsidRPr="0006063C" w:rsidSect="00034616">
      <w:pgSz w:w="12240" w:h="15840"/>
      <w:pgMar w:top="1440"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