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495DE" w14:textId="77777777" w:rsidR="004E340C" w:rsidRDefault="00856812" w:rsidP="004E340C">
      <w:pPr>
        <w:pStyle w:val="NoSpacing"/>
        <w:ind w:left="-284"/>
        <w:divId w:val="465317432"/>
      </w:pPr>
      <w:r w:rsidRPr="005A113F">
        <w:rPr>
          <w:rFonts w:eastAsia="Times New Roman"/>
          <w:lang w:val="en"/>
        </w:rPr>
        <w:t xml:space="preserve">Project: </w:t>
      </w:r>
      <w:proofErr w:type="spellStart"/>
      <w:r w:rsidR="004E340C" w:rsidRPr="004E340C">
        <w:t>Biocommodity</w:t>
      </w:r>
      <w:proofErr w:type="spellEnd"/>
      <w:r w:rsidR="004E340C" w:rsidRPr="004E340C">
        <w:t xml:space="preserve"> Engineering</w:t>
      </w:r>
    </w:p>
    <w:p w14:paraId="0B94036A" w14:textId="67DCFF21" w:rsidR="00234B39" w:rsidRPr="005A113F" w:rsidRDefault="00856812" w:rsidP="004E340C">
      <w:pPr>
        <w:pStyle w:val="NoSpacing"/>
        <w:ind w:left="-284"/>
        <w:divId w:val="465317432"/>
        <w:rPr>
          <w:lang w:val="en"/>
        </w:rPr>
      </w:pPr>
      <w:r w:rsidRPr="005A113F">
        <w:rPr>
          <w:rStyle w:val="Strong"/>
          <w:b w:val="0"/>
          <w:bCs w:val="0"/>
          <w:lang w:val="en"/>
        </w:rPr>
        <w:t>Learner Name</w:t>
      </w:r>
      <w:r w:rsidRPr="005A113F">
        <w:rPr>
          <w:lang w:val="en"/>
        </w:rPr>
        <w:t xml:space="preserve">: </w:t>
      </w:r>
      <w:r w:rsidR="004E340C">
        <w:rPr>
          <w:lang w:val="en"/>
        </w:rPr>
        <w:t>SURYA KUMAR M</w:t>
      </w:r>
    </w:p>
    <w:p w14:paraId="677DC39A" w14:textId="4F36FA8A" w:rsidR="00DD5008" w:rsidRPr="005A113F" w:rsidRDefault="00DD5008" w:rsidP="004E340C">
      <w:pPr>
        <w:pStyle w:val="NoSpacing"/>
        <w:ind w:left="-284"/>
        <w:divId w:val="465317432"/>
        <w:rPr>
          <w:lang w:val="en"/>
        </w:rPr>
      </w:pPr>
      <w:r w:rsidRPr="005A113F">
        <w:rPr>
          <w:rStyle w:val="Strong"/>
          <w:b w:val="0"/>
          <w:bCs w:val="0"/>
          <w:lang w:val="en"/>
        </w:rPr>
        <w:t>Learner Email</w:t>
      </w:r>
      <w:r w:rsidRPr="005A113F">
        <w:rPr>
          <w:lang w:val="en"/>
        </w:rPr>
        <w:t xml:space="preserve">: </w:t>
      </w:r>
      <w:r w:rsidR="000C17D7">
        <w:rPr>
          <w:lang w:val="en"/>
        </w:rPr>
        <w:t>s</w:t>
      </w:r>
      <w:r w:rsidR="004E340C">
        <w:rPr>
          <w:lang w:val="en"/>
        </w:rPr>
        <w:t>urya.m</w:t>
      </w:r>
      <w:r w:rsidR="000C17D7">
        <w:rPr>
          <w:lang w:val="en"/>
        </w:rPr>
        <w:t>.csd.2021</w:t>
      </w:r>
      <w:r w:rsidR="005A113F">
        <w:rPr>
          <w:lang w:val="en"/>
        </w:rPr>
        <w:t>@</w:t>
      </w:r>
      <w:r w:rsidR="000C17D7">
        <w:rPr>
          <w:lang w:val="en"/>
        </w:rPr>
        <w:t>snsce.ac.in</w:t>
      </w:r>
    </w:p>
    <w:p w14:paraId="4D7EECF3" w14:textId="5E4436C6" w:rsidR="00234B39" w:rsidRPr="005A113F" w:rsidRDefault="00856812" w:rsidP="004E340C">
      <w:pPr>
        <w:pStyle w:val="NoSpacing"/>
        <w:ind w:left="-284"/>
        <w:divId w:val="465317432"/>
        <w:rPr>
          <w:lang w:val="en"/>
        </w:rPr>
      </w:pPr>
      <w:r w:rsidRPr="005A113F">
        <w:rPr>
          <w:rStyle w:val="Strong"/>
          <w:b w:val="0"/>
          <w:bCs w:val="0"/>
          <w:lang w:val="en"/>
        </w:rPr>
        <w:t>Topic</w:t>
      </w:r>
      <w:r w:rsidRPr="005A113F">
        <w:rPr>
          <w:lang w:val="en"/>
        </w:rPr>
        <w:t xml:space="preserve">: </w:t>
      </w:r>
      <w:r w:rsidR="004E340C">
        <w:rPr>
          <w:lang w:val="en"/>
        </w:rPr>
        <w:t>Engineering</w:t>
      </w:r>
      <w:r w:rsidR="005A113F">
        <w:rPr>
          <w:lang w:val="en"/>
        </w:rPr>
        <w:t xml:space="preserve"> </w:t>
      </w:r>
      <w:r w:rsidR="00C47846">
        <w:rPr>
          <w:lang w:val="en"/>
        </w:rPr>
        <w:t>–</w:t>
      </w:r>
      <w:r w:rsidR="005A113F">
        <w:rPr>
          <w:lang w:val="en"/>
        </w:rPr>
        <w:t xml:space="preserve"> </w:t>
      </w:r>
      <w:proofErr w:type="spellStart"/>
      <w:r w:rsidR="004E340C" w:rsidRPr="004E340C">
        <w:t>Biocommodity</w:t>
      </w:r>
      <w:proofErr w:type="spellEnd"/>
      <w:r w:rsidR="004E340C" w:rsidRPr="004E340C">
        <w:t xml:space="preserve"> Engineering</w:t>
      </w:r>
    </w:p>
    <w:p w14:paraId="1A9CD9E2" w14:textId="13CC503B" w:rsidR="00D95A30" w:rsidRPr="002F7499" w:rsidRDefault="00856812" w:rsidP="004E340C">
      <w:pPr>
        <w:pStyle w:val="NoSpacing"/>
        <w:ind w:left="-284"/>
        <w:divId w:val="465317432"/>
        <w:rPr>
          <w:lang w:val="en"/>
        </w:rPr>
      </w:pPr>
      <w:proofErr w:type="gramStart"/>
      <w:r w:rsidRPr="005A113F">
        <w:rPr>
          <w:rStyle w:val="Strong"/>
          <w:b w:val="0"/>
          <w:bCs w:val="0"/>
          <w:lang w:val="en"/>
        </w:rPr>
        <w:t>Research Paper</w:t>
      </w:r>
      <w:r w:rsidR="004E340C">
        <w:rPr>
          <w:rStyle w:val="Strong"/>
          <w:b w:val="0"/>
          <w:bCs w:val="0"/>
          <w:lang w:val="en"/>
        </w:rPr>
        <w:t xml:space="preserve"> </w:t>
      </w:r>
      <w:r w:rsidRPr="005A113F">
        <w:rPr>
          <w:lang w:val="en"/>
        </w:rPr>
        <w:t>:</w:t>
      </w:r>
      <w:proofErr w:type="gramEnd"/>
      <w:hyperlink r:id="rId6" w:history="1">
        <w:r w:rsidR="004E340C" w:rsidRPr="004E340C">
          <w:rPr>
            <w:rStyle w:val="Hyperlink"/>
            <w:lang w:val="en"/>
          </w:rPr>
          <w:t>https://cellulosicbiomasslab.engr.ucr.edu.pdf</w:t>
        </w:r>
      </w:hyperlink>
      <w:r w:rsidR="004E340C" w:rsidRPr="002F7499">
        <w:rPr>
          <w:lang w:val="en"/>
        </w:rPr>
        <w:t xml:space="preserve"> </w:t>
      </w:r>
    </w:p>
    <w:p w14:paraId="7D6AA7DF" w14:textId="77777777" w:rsidR="00D95A30" w:rsidRDefault="00D95A30" w:rsidP="00240473">
      <w:pPr>
        <w:pStyle w:val="NoSpacing"/>
        <w:ind w:left="-284"/>
        <w:divId w:val="465317432"/>
        <w:rPr>
          <w:rFonts w:eastAsia="Times New Roman"/>
          <w:lang w:val="en"/>
        </w:rPr>
      </w:pPr>
    </w:p>
    <w:p w14:paraId="6F7ED336" w14:textId="6B2EADC2" w:rsidR="00234B39" w:rsidRPr="005A113F" w:rsidRDefault="00856812" w:rsidP="00240473">
      <w:pPr>
        <w:pStyle w:val="NoSpacing"/>
        <w:numPr>
          <w:ilvl w:val="0"/>
          <w:numId w:val="9"/>
        </w:numPr>
        <w:ind w:left="-284"/>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240473">
      <w:pPr>
        <w:pStyle w:val="NoSpacing"/>
        <w:ind w:left="-284"/>
        <w:divId w:val="465317432"/>
        <w:rPr>
          <w:rStyle w:val="Strong"/>
          <w:b w:val="0"/>
          <w:bCs w:val="0"/>
          <w:lang w:val="en"/>
        </w:rPr>
      </w:pPr>
    </w:p>
    <w:p w14:paraId="17A2F556" w14:textId="12BDCF12" w:rsidR="005A113F" w:rsidRPr="00240473" w:rsidRDefault="00856812" w:rsidP="00856812">
      <w:pPr>
        <w:pStyle w:val="NoSpacing"/>
        <w:ind w:left="-284"/>
        <w:divId w:val="465317432"/>
        <w:rPr>
          <w:lang w:val="en"/>
        </w:rPr>
      </w:pPr>
      <w:r w:rsidRPr="005A113F">
        <w:rPr>
          <w:rStyle w:val="Strong"/>
          <w:lang w:val="en"/>
        </w:rPr>
        <w:t>Description (50 words max)</w:t>
      </w:r>
      <w:r w:rsidRPr="005A113F">
        <w:rPr>
          <w:lang w:val="en"/>
        </w:rPr>
        <w:t xml:space="preserve">: </w:t>
      </w:r>
      <w:r w:rsidR="005A113F" w:rsidRPr="005A113F">
        <w:t xml:space="preserve">Summarize the above topic </w:t>
      </w:r>
      <w:proofErr w:type="spellStart"/>
      <w:r w:rsidRPr="00856812">
        <w:t>Biocommodity</w:t>
      </w:r>
      <w:proofErr w:type="spellEnd"/>
      <w:r w:rsidRPr="00856812">
        <w:t xml:space="preserve"> Engineering</w:t>
      </w:r>
      <w:r w:rsidR="00240473">
        <w:rPr>
          <w:lang w:val="en"/>
        </w:rPr>
        <w:t xml:space="preserve"> </w:t>
      </w:r>
      <w:r w:rsidR="005A113F" w:rsidRPr="005A113F">
        <w:t>and it should be within 100 words</w:t>
      </w:r>
    </w:p>
    <w:p w14:paraId="69BEDD2D" w14:textId="77777777" w:rsidR="005A113F" w:rsidRDefault="005A113F" w:rsidP="00240473">
      <w:pPr>
        <w:pStyle w:val="NoSpacing"/>
        <w:ind w:left="-284"/>
        <w:divId w:val="465317432"/>
        <w:rPr>
          <w:rStyle w:val="Strong"/>
          <w:lang w:val="en"/>
        </w:rPr>
      </w:pPr>
    </w:p>
    <w:p w14:paraId="2A855F63" w14:textId="77777777" w:rsidR="00856812" w:rsidRDefault="00856812" w:rsidP="00856812">
      <w:pPr>
        <w:pStyle w:val="NoSpacing"/>
        <w:ind w:left="-284"/>
        <w:divId w:val="465317432"/>
      </w:pPr>
      <w:r w:rsidRPr="005A113F">
        <w:rPr>
          <w:rStyle w:val="Strong"/>
          <w:lang w:val="en"/>
        </w:rPr>
        <w:t>Generated Summary (100 words max)</w:t>
      </w:r>
      <w:r w:rsidRPr="005A113F">
        <w:rPr>
          <w:lang w:val="en"/>
        </w:rPr>
        <w:t xml:space="preserve">: </w:t>
      </w:r>
      <w:proofErr w:type="spellStart"/>
      <w:r w:rsidRPr="00856812">
        <w:t>Biocommodity</w:t>
      </w:r>
      <w:proofErr w:type="spellEnd"/>
      <w:r w:rsidRPr="00856812">
        <w:t xml:space="preserve"> engineering focuses on converting biological </w:t>
      </w:r>
      <w:proofErr w:type="spellStart"/>
      <w:r w:rsidRPr="00856812">
        <w:t>feedstocks</w:t>
      </w:r>
      <w:proofErr w:type="spellEnd"/>
      <w:r w:rsidRPr="00856812">
        <w:t xml:space="preserve"> into valuable products. Key </w:t>
      </w:r>
      <w:proofErr w:type="spellStart"/>
      <w:r w:rsidRPr="00856812">
        <w:t>feedstocks</w:t>
      </w:r>
      <w:proofErr w:type="spellEnd"/>
      <w:r w:rsidRPr="00856812">
        <w:t xml:space="preserve"> include sugar-rich crops, plant and animal oils, starch-rich grains, and cellulose-rich materials. Carbohydrates are likely to dominate due to their low cost and availability. Corn is currently the primary feedstock, offering advantages in established infrastructure and ease of processing. However, cellulosic materials, with their larger supply and lower costs, are considered the preferred long-term feedstock, pending advancements in technology to efficiently process them. Corn remains important as both a current feedstock and a potential source of cellulosic material.</w:t>
      </w:r>
    </w:p>
    <w:p w14:paraId="4B0EDA82" w14:textId="77777777" w:rsidR="00856812" w:rsidRDefault="00856812" w:rsidP="00856812">
      <w:pPr>
        <w:pStyle w:val="NoSpacing"/>
        <w:ind w:left="-284"/>
        <w:divId w:val="465317432"/>
        <w:rPr>
          <w:rFonts w:eastAsia="Times New Roman"/>
          <w:b/>
          <w:bCs/>
          <w:lang w:val="en"/>
        </w:rPr>
      </w:pPr>
    </w:p>
    <w:p w14:paraId="45247207" w14:textId="59A932CD" w:rsidR="00234B39" w:rsidRPr="005A113F" w:rsidRDefault="00856812" w:rsidP="00856812">
      <w:pPr>
        <w:pStyle w:val="NoSpacing"/>
        <w:ind w:left="-284"/>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240473">
      <w:pPr>
        <w:pStyle w:val="NoSpacing"/>
        <w:ind w:left="-284"/>
        <w:divId w:val="465317432"/>
        <w:rPr>
          <w:rStyle w:val="Strong"/>
          <w:lang w:val="en"/>
        </w:rPr>
      </w:pPr>
    </w:p>
    <w:p w14:paraId="22374C6A" w14:textId="73A65E83" w:rsidR="00234B39" w:rsidRPr="005A113F" w:rsidRDefault="00856812" w:rsidP="00856812">
      <w:pPr>
        <w:pStyle w:val="NoSpacing"/>
        <w:ind w:left="-284"/>
        <w:divId w:val="465317432"/>
        <w:rPr>
          <w:lang w:val="en"/>
        </w:rPr>
      </w:pPr>
      <w:r w:rsidRPr="005A113F">
        <w:rPr>
          <w:rStyle w:val="Strong"/>
          <w:lang w:val="en"/>
        </w:rPr>
        <w:t>Description (50 words max)</w:t>
      </w:r>
      <w:r w:rsidRPr="005A113F">
        <w:rPr>
          <w:b/>
          <w:bCs/>
          <w:lang w:val="en"/>
        </w:rPr>
        <w:t>:</w:t>
      </w:r>
      <w:r w:rsidRPr="005A113F">
        <w:rPr>
          <w:lang w:val="en"/>
        </w:rPr>
        <w:t xml:space="preserve"> </w:t>
      </w:r>
      <w:r w:rsidR="005A113F">
        <w:rPr>
          <w:lang w:val="en"/>
        </w:rPr>
        <w:t>G</w:t>
      </w:r>
      <w:r w:rsidR="005A113F" w:rsidRPr="005A113F">
        <w:rPr>
          <w:lang w:val="en"/>
        </w:rPr>
        <w:t xml:space="preserve">ive the proper summarize where it should be related to the </w:t>
      </w:r>
      <w:proofErr w:type="spellStart"/>
      <w:r w:rsidRPr="00856812">
        <w:t>Biocommodity</w:t>
      </w:r>
      <w:proofErr w:type="spellEnd"/>
      <w:r w:rsidRPr="00856812">
        <w:t xml:space="preserve"> Engineering</w:t>
      </w:r>
      <w:r>
        <w:t xml:space="preserve"> </w:t>
      </w:r>
      <w:r w:rsidR="005A113F" w:rsidRPr="005A113F">
        <w:rPr>
          <w:lang w:val="en"/>
        </w:rPr>
        <w:t>and it should be within 100 words</w:t>
      </w:r>
    </w:p>
    <w:p w14:paraId="7D890AB2" w14:textId="77777777" w:rsidR="005A113F" w:rsidRDefault="005A113F" w:rsidP="00240473">
      <w:pPr>
        <w:pStyle w:val="NoSpacing"/>
        <w:ind w:left="-284"/>
        <w:divId w:val="465317432"/>
        <w:rPr>
          <w:rStyle w:val="Strong"/>
          <w:b w:val="0"/>
          <w:bCs w:val="0"/>
          <w:lang w:val="en"/>
        </w:rPr>
      </w:pPr>
    </w:p>
    <w:p w14:paraId="4B82D5C5" w14:textId="1A36548A" w:rsidR="005A113F" w:rsidRDefault="00856812" w:rsidP="00856812">
      <w:pPr>
        <w:pStyle w:val="NoSpacing"/>
        <w:ind w:left="-284"/>
        <w:divId w:val="465317432"/>
        <w:rPr>
          <w:lang w:val="en"/>
        </w:rPr>
      </w:pPr>
      <w:r w:rsidRPr="005A113F">
        <w:rPr>
          <w:rStyle w:val="Strong"/>
          <w:lang w:val="en"/>
        </w:rPr>
        <w:t>Generated Summary (100 words max)</w:t>
      </w:r>
      <w:r w:rsidRPr="005A113F">
        <w:rPr>
          <w:lang w:val="en"/>
        </w:rPr>
        <w:t xml:space="preserve">: </w:t>
      </w:r>
      <w:proofErr w:type="spellStart"/>
      <w:r w:rsidRPr="00856812">
        <w:rPr>
          <w:lang w:val="en"/>
        </w:rPr>
        <w:t>Biocommodity</w:t>
      </w:r>
      <w:proofErr w:type="spellEnd"/>
      <w:r w:rsidRPr="00856812">
        <w:rPr>
          <w:lang w:val="en"/>
        </w:rPr>
        <w:t xml:space="preserve"> engineering focuses on converting biological </w:t>
      </w:r>
      <w:proofErr w:type="spellStart"/>
      <w:r w:rsidRPr="00856812">
        <w:rPr>
          <w:lang w:val="en"/>
        </w:rPr>
        <w:t>feedstocks</w:t>
      </w:r>
      <w:proofErr w:type="spellEnd"/>
      <w:r w:rsidRPr="00856812">
        <w:rPr>
          <w:lang w:val="en"/>
        </w:rPr>
        <w:t xml:space="preserve"> into valuable products, impacting economics, environmental sustainability, and facility siting. Key </w:t>
      </w:r>
      <w:proofErr w:type="spellStart"/>
      <w:r w:rsidRPr="00856812">
        <w:rPr>
          <w:lang w:val="en"/>
        </w:rPr>
        <w:t>feedstocks</w:t>
      </w:r>
      <w:proofErr w:type="spellEnd"/>
      <w:r w:rsidRPr="00856812">
        <w:rPr>
          <w:lang w:val="en"/>
        </w:rPr>
        <w:t xml:space="preserve"> include sugar-rich crops, oils, starch-rich grains, and cellulose-rich materials. Carbohydrates, particularly from corn, are the dominant </w:t>
      </w:r>
      <w:proofErr w:type="spellStart"/>
      <w:r w:rsidRPr="00856812">
        <w:rPr>
          <w:lang w:val="en"/>
        </w:rPr>
        <w:t>feedstocks</w:t>
      </w:r>
      <w:proofErr w:type="spellEnd"/>
      <w:r w:rsidRPr="00856812">
        <w:rPr>
          <w:lang w:val="en"/>
        </w:rPr>
        <w:t xml:space="preserve"> due to their established infrastructure and ease of processing. However, cellulose, with its larger supply and lower costs, is seen as the preferred long-term option, provided that efficient processing technologies are developed. Corn plays a transitional role, offering both immediate feedstock and potential cellulosic material fo</w:t>
      </w:r>
      <w:r>
        <w:rPr>
          <w:lang w:val="en"/>
        </w:rPr>
        <w:t xml:space="preserve">r future </w:t>
      </w:r>
      <w:proofErr w:type="spellStart"/>
      <w:r>
        <w:rPr>
          <w:lang w:val="en"/>
        </w:rPr>
        <w:t>biocommodity</w:t>
      </w:r>
      <w:proofErr w:type="spellEnd"/>
      <w:r>
        <w:rPr>
          <w:lang w:val="en"/>
        </w:rPr>
        <w:t xml:space="preserve"> processes</w:t>
      </w:r>
      <w:r w:rsidR="00240473" w:rsidRPr="00240473">
        <w:rPr>
          <w:lang w:val="en"/>
        </w:rPr>
        <w:t>.</w:t>
      </w:r>
    </w:p>
    <w:p w14:paraId="5229AE2C" w14:textId="77777777" w:rsidR="000C17D7" w:rsidRDefault="000C17D7" w:rsidP="00240473">
      <w:pPr>
        <w:pStyle w:val="NoSpacing"/>
        <w:ind w:left="-284"/>
        <w:divId w:val="465317432"/>
        <w:rPr>
          <w:rFonts w:eastAsia="Times New Roman"/>
          <w:lang w:val="en"/>
        </w:rPr>
      </w:pPr>
    </w:p>
    <w:p w14:paraId="31097DB1" w14:textId="6AFCBC88" w:rsidR="00234B39" w:rsidRPr="005A113F" w:rsidRDefault="00856812" w:rsidP="00240473">
      <w:pPr>
        <w:pStyle w:val="NoSpacing"/>
        <w:numPr>
          <w:ilvl w:val="0"/>
          <w:numId w:val="9"/>
        </w:numPr>
        <w:ind w:left="-284"/>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240473">
      <w:pPr>
        <w:pStyle w:val="NoSpacing"/>
        <w:ind w:left="-284"/>
        <w:divId w:val="465317432"/>
        <w:rPr>
          <w:rStyle w:val="Strong"/>
          <w:b w:val="0"/>
          <w:bCs w:val="0"/>
          <w:lang w:val="en"/>
        </w:rPr>
      </w:pPr>
    </w:p>
    <w:p w14:paraId="67C88E13" w14:textId="41AA9F09" w:rsidR="005A113F" w:rsidRDefault="00856812" w:rsidP="00856812">
      <w:pPr>
        <w:pStyle w:val="NoSpacing"/>
        <w:ind w:left="-284" w:right="600"/>
        <w:divId w:val="465317432"/>
      </w:pPr>
      <w:r w:rsidRPr="005A113F">
        <w:rPr>
          <w:rStyle w:val="Strong"/>
          <w:lang w:val="en"/>
        </w:rPr>
        <w:t>Description (50 words max</w:t>
      </w:r>
      <w:r w:rsidR="000C17D7" w:rsidRPr="005A113F">
        <w:rPr>
          <w:rStyle w:val="Strong"/>
          <w:lang w:val="en"/>
        </w:rPr>
        <w:t>)</w:t>
      </w:r>
      <w:r w:rsidR="000C17D7" w:rsidRPr="005A113F">
        <w:rPr>
          <w:lang w:val="en"/>
        </w:rPr>
        <w:t>:</w:t>
      </w:r>
      <w:r w:rsidR="000C17D7">
        <w:t xml:space="preserve"> </w:t>
      </w:r>
      <w:r w:rsidRPr="00856812">
        <w:t xml:space="preserve">Explore how </w:t>
      </w:r>
      <w:proofErr w:type="spellStart"/>
      <w:r w:rsidRPr="00856812">
        <w:t>feedstocks</w:t>
      </w:r>
      <w:proofErr w:type="spellEnd"/>
      <w:r w:rsidRPr="00856812">
        <w:t xml:space="preserve"> shape the future of </w:t>
      </w:r>
      <w:proofErr w:type="spellStart"/>
      <w:r w:rsidRPr="00856812">
        <w:t>biocommodity</w:t>
      </w:r>
      <w:proofErr w:type="spellEnd"/>
      <w:r w:rsidRPr="00856812">
        <w:t xml:space="preserve"> engineering, impacting economics, environmental sustainability, and facility location. Delve into the roles of key </w:t>
      </w:r>
      <w:proofErr w:type="spellStart"/>
      <w:r w:rsidRPr="00856812">
        <w:t>feedstocks</w:t>
      </w:r>
      <w:proofErr w:type="spellEnd"/>
      <w:r w:rsidRPr="00856812">
        <w:t xml:space="preserve"> like sugar-rich crops, oils, starch-rich grains, and cellulose-rich materials, with a focus on the dominance of carbohydrates and corn in current processes. Learn why cellulosic materials, despite processing challenges, are considered the preferred long-term option, and understand corn's crucial transitional role as both a carbohydrate source and a potential cellulosic feedstock. Discover the technological advancements needed to unlock the full poten</w:t>
      </w:r>
      <w:r>
        <w:t xml:space="preserve">tial of </w:t>
      </w:r>
      <w:proofErr w:type="spellStart"/>
      <w:r>
        <w:t>biocommodity</w:t>
      </w:r>
      <w:proofErr w:type="spellEnd"/>
      <w:r>
        <w:t xml:space="preserve"> processes.</w:t>
      </w:r>
    </w:p>
    <w:p w14:paraId="45373FF1" w14:textId="77777777" w:rsidR="005A113F" w:rsidRDefault="005A113F" w:rsidP="00240473">
      <w:pPr>
        <w:pStyle w:val="NoSpacing"/>
        <w:ind w:left="-284"/>
        <w:divId w:val="465317432"/>
      </w:pPr>
    </w:p>
    <w:p w14:paraId="59AACC7A" w14:textId="5F58C50B" w:rsidR="005A113F" w:rsidRDefault="00856812" w:rsidP="00856812">
      <w:pPr>
        <w:pStyle w:val="NoSpacing"/>
        <w:ind w:left="-284"/>
        <w:divId w:val="465317432"/>
        <w:rPr>
          <w:rStyle w:val="Strong"/>
          <w:b w:val="0"/>
          <w:bCs w:val="0"/>
          <w:lang w:val="en"/>
        </w:rPr>
      </w:pPr>
      <w:r w:rsidRPr="005A113F">
        <w:rPr>
          <w:rStyle w:val="Strong"/>
          <w:lang w:val="en"/>
        </w:rPr>
        <w:t>Generated Summary (100 words max)</w:t>
      </w:r>
      <w:r w:rsidRPr="005A113F">
        <w:rPr>
          <w:lang w:val="en"/>
        </w:rPr>
        <w:t xml:space="preserve">: </w:t>
      </w:r>
      <w:proofErr w:type="spellStart"/>
      <w:r w:rsidRPr="00856812">
        <w:t>Feedstocks</w:t>
      </w:r>
      <w:proofErr w:type="spellEnd"/>
      <w:r w:rsidRPr="00856812">
        <w:t xml:space="preserve"> for </w:t>
      </w:r>
      <w:proofErr w:type="spellStart"/>
      <w:r w:rsidRPr="00856812">
        <w:t>biocommodity</w:t>
      </w:r>
      <w:proofErr w:type="spellEnd"/>
      <w:r w:rsidRPr="00856812">
        <w:t xml:space="preserve"> processes greatly influence economics, facility location, and environmental impact. Key </w:t>
      </w:r>
      <w:proofErr w:type="spellStart"/>
      <w:r w:rsidRPr="00856812">
        <w:t>feedstocks</w:t>
      </w:r>
      <w:proofErr w:type="spellEnd"/>
      <w:r w:rsidRPr="00856812">
        <w:t xml:space="preserve"> include sugar-rich crops, oils, starch-rich grains, and cellulose-rich materials. Carbohydrates, due to their low cost and abundance, are likely to dominate, with corn being the leading feedstock currently. Cellulosic materials, with larger supply and lower costs, are preferred long-term, but require </w:t>
      </w:r>
      <w:r w:rsidRPr="00856812">
        <w:lastRenderedPageBreak/>
        <w:t xml:space="preserve">advanced technology to overcome processing challenges. Corn plays a transitional role, offering both carbohydrate and potential cellulosic </w:t>
      </w:r>
      <w:proofErr w:type="spellStart"/>
      <w:r w:rsidRPr="00856812">
        <w:t>feedstocks</w:t>
      </w:r>
      <w:proofErr w:type="spellEnd"/>
      <w:r w:rsidRPr="00856812">
        <w:t xml:space="preserve"> while cellulose-based technology develops.</w:t>
      </w:r>
    </w:p>
    <w:p w14:paraId="68A1E932" w14:textId="77777777" w:rsidR="002F7499" w:rsidRDefault="002F7499" w:rsidP="00240473">
      <w:pPr>
        <w:pStyle w:val="NoSpacing"/>
        <w:ind w:left="-284"/>
        <w:divId w:val="465317432"/>
        <w:rPr>
          <w:rStyle w:val="Strong"/>
          <w:b w:val="0"/>
          <w:bCs w:val="0"/>
          <w:lang w:val="en"/>
        </w:rPr>
      </w:pPr>
    </w:p>
    <w:p w14:paraId="52198999" w14:textId="3146F3DA" w:rsidR="00F428EB" w:rsidRPr="00230D7E" w:rsidRDefault="00F428EB" w:rsidP="00230D7E">
      <w:pPr>
        <w:pStyle w:val="NoSpacing"/>
        <w:spacing w:after="300"/>
        <w:ind w:left="-227" w:right="1500"/>
        <w:divId w:val="465317432"/>
        <w:rPr>
          <w:b/>
          <w:bCs/>
        </w:rPr>
      </w:pPr>
      <w:r w:rsidRPr="00F428EB">
        <w:rPr>
          <w:b/>
          <w:bCs/>
        </w:rPr>
        <w:t>Key Insights:</w:t>
      </w:r>
    </w:p>
    <w:p w14:paraId="50A67C93" w14:textId="5EC88C48" w:rsidR="00F428EB" w:rsidRPr="00F428EB" w:rsidRDefault="00F428EB" w:rsidP="00230D7E">
      <w:pPr>
        <w:pStyle w:val="NoSpacing"/>
        <w:numPr>
          <w:ilvl w:val="0"/>
          <w:numId w:val="16"/>
        </w:numPr>
        <w:spacing w:after="300"/>
        <w:ind w:left="530" w:right="170"/>
        <w:jc w:val="both"/>
        <w:divId w:val="465317432"/>
        <w:rPr>
          <w:bCs/>
        </w:rPr>
      </w:pPr>
      <w:r w:rsidRPr="00F428EB">
        <w:rPr>
          <w:bCs/>
        </w:rPr>
        <w:t xml:space="preserve">Complexity and Uncertainty: The </w:t>
      </w:r>
      <w:proofErr w:type="spellStart"/>
      <w:r w:rsidRPr="00F428EB">
        <w:rPr>
          <w:bCs/>
        </w:rPr>
        <w:t>biocommodity</w:t>
      </w:r>
      <w:proofErr w:type="spellEnd"/>
      <w:r w:rsidRPr="00F428EB">
        <w:rPr>
          <w:bCs/>
        </w:rPr>
        <w:t xml:space="preserve"> engineering process is </w:t>
      </w:r>
      <w:r>
        <w:rPr>
          <w:bCs/>
        </w:rPr>
        <w:t xml:space="preserve">  </w:t>
      </w:r>
      <w:r w:rsidRPr="00F428EB">
        <w:rPr>
          <w:bCs/>
        </w:rPr>
        <w:t>inherently complex and uncertain, influenced by various interconnected and evolving factors, particularly in feedstock selection.</w:t>
      </w:r>
    </w:p>
    <w:p w14:paraId="652EAC66" w14:textId="7F5988FB" w:rsidR="00F428EB" w:rsidRPr="00F428EB" w:rsidRDefault="00F428EB" w:rsidP="00230D7E">
      <w:pPr>
        <w:pStyle w:val="NoSpacing"/>
        <w:numPr>
          <w:ilvl w:val="0"/>
          <w:numId w:val="16"/>
        </w:numPr>
        <w:spacing w:after="300"/>
        <w:ind w:left="530" w:right="170"/>
        <w:jc w:val="both"/>
        <w:divId w:val="465317432"/>
        <w:rPr>
          <w:bCs/>
        </w:rPr>
      </w:pPr>
      <w:r w:rsidRPr="00F428EB">
        <w:rPr>
          <w:bCs/>
        </w:rPr>
        <w:t xml:space="preserve">Feedstock Selection: The choice of </w:t>
      </w:r>
      <w:proofErr w:type="spellStart"/>
      <w:r w:rsidRPr="00F428EB">
        <w:rPr>
          <w:bCs/>
        </w:rPr>
        <w:t>feedstocks</w:t>
      </w:r>
      <w:proofErr w:type="spellEnd"/>
      <w:r w:rsidRPr="00F428EB">
        <w:rPr>
          <w:bCs/>
        </w:rPr>
        <w:t>, such as sugar-rich crops, oils, starch-rich grains, and cellulose-rich materials, significantly impacts technological feasibility, economic viability, and environmental sustainability, each requiring careful evaluation.</w:t>
      </w:r>
    </w:p>
    <w:p w14:paraId="60029B99" w14:textId="1ED1B48A" w:rsidR="00F428EB" w:rsidRPr="00F428EB" w:rsidRDefault="00F428EB" w:rsidP="00230D7E">
      <w:pPr>
        <w:pStyle w:val="NoSpacing"/>
        <w:numPr>
          <w:ilvl w:val="0"/>
          <w:numId w:val="16"/>
        </w:numPr>
        <w:spacing w:after="300"/>
        <w:ind w:left="530" w:right="170"/>
        <w:jc w:val="both"/>
        <w:divId w:val="465317432"/>
        <w:rPr>
          <w:bCs/>
        </w:rPr>
      </w:pPr>
      <w:r w:rsidRPr="00F428EB">
        <w:rPr>
          <w:bCs/>
        </w:rPr>
        <w:t xml:space="preserve">Sustainable Development (SD) </w:t>
      </w:r>
      <w:proofErr w:type="spellStart"/>
      <w:r w:rsidRPr="00F428EB">
        <w:rPr>
          <w:bCs/>
        </w:rPr>
        <w:t>Feedstocks</w:t>
      </w:r>
      <w:proofErr w:type="spellEnd"/>
      <w:r w:rsidRPr="00F428EB">
        <w:rPr>
          <w:bCs/>
        </w:rPr>
        <w:t xml:space="preserve">: The transition to cellulose-based </w:t>
      </w:r>
      <w:proofErr w:type="spellStart"/>
      <w:r w:rsidRPr="00F428EB">
        <w:rPr>
          <w:bCs/>
        </w:rPr>
        <w:t>feedstocks</w:t>
      </w:r>
      <w:proofErr w:type="spellEnd"/>
      <w:r w:rsidRPr="00F428EB">
        <w:rPr>
          <w:bCs/>
        </w:rPr>
        <w:t xml:space="preserve"> is crucial for improving sustainability in </w:t>
      </w:r>
      <w:proofErr w:type="spellStart"/>
      <w:r w:rsidRPr="00F428EB">
        <w:rPr>
          <w:bCs/>
        </w:rPr>
        <w:t>biocommodity</w:t>
      </w:r>
      <w:proofErr w:type="spellEnd"/>
      <w:r w:rsidRPr="00F428EB">
        <w:rPr>
          <w:bCs/>
        </w:rPr>
        <w:t xml:space="preserve"> processes, necessitating ongoing adaptation and development of advanced processing technologies.</w:t>
      </w:r>
    </w:p>
    <w:p w14:paraId="3C5FE50B" w14:textId="7E54E17D" w:rsidR="00F428EB" w:rsidRPr="00F428EB" w:rsidRDefault="00F428EB" w:rsidP="00230D7E">
      <w:pPr>
        <w:pStyle w:val="NoSpacing"/>
        <w:numPr>
          <w:ilvl w:val="0"/>
          <w:numId w:val="16"/>
        </w:numPr>
        <w:spacing w:after="300"/>
        <w:ind w:left="530" w:right="170"/>
        <w:jc w:val="both"/>
        <w:divId w:val="465317432"/>
        <w:rPr>
          <w:bCs/>
        </w:rPr>
      </w:pPr>
      <w:r w:rsidRPr="00F428EB">
        <w:rPr>
          <w:bCs/>
        </w:rPr>
        <w:t>Path Dependence: Historical reliance on corn as a primary feedstock strongly influences current practices, making it challenging to transition to cellulose without significant technological advancements and cost considerations.</w:t>
      </w:r>
    </w:p>
    <w:p w14:paraId="21CCB444" w14:textId="6C832806" w:rsidR="00F428EB" w:rsidRPr="00F428EB" w:rsidRDefault="00F428EB" w:rsidP="00230D7E">
      <w:pPr>
        <w:pStyle w:val="NoSpacing"/>
        <w:numPr>
          <w:ilvl w:val="0"/>
          <w:numId w:val="16"/>
        </w:numPr>
        <w:spacing w:after="300"/>
        <w:ind w:left="530" w:right="170"/>
        <w:jc w:val="both"/>
        <w:divId w:val="465317432"/>
        <w:rPr>
          <w:bCs/>
        </w:rPr>
      </w:pPr>
      <w:r w:rsidRPr="00F428EB">
        <w:rPr>
          <w:bCs/>
        </w:rPr>
        <w:t>Environmental and Social</w:t>
      </w:r>
      <w:r>
        <w:rPr>
          <w:bCs/>
        </w:rPr>
        <w:t xml:space="preserve"> Impact:</w:t>
      </w:r>
      <w:r w:rsidRPr="00F428EB">
        <w:rPr>
          <w:bCs/>
        </w:rPr>
        <w:t xml:space="preserve"> Addressing environmental and social issues in feedstock selection is vital for achieving long-term sustainability in </w:t>
      </w:r>
      <w:proofErr w:type="spellStart"/>
      <w:r w:rsidRPr="00F428EB">
        <w:rPr>
          <w:bCs/>
        </w:rPr>
        <w:t>biocommodity</w:t>
      </w:r>
      <w:proofErr w:type="spellEnd"/>
      <w:r w:rsidRPr="00F428EB">
        <w:rPr>
          <w:bCs/>
        </w:rPr>
        <w:t xml:space="preserve"> engineering.</w:t>
      </w:r>
    </w:p>
    <w:p w14:paraId="506C4C47" w14:textId="54CD7C88" w:rsidR="00F428EB" w:rsidRPr="00F428EB" w:rsidRDefault="00F428EB" w:rsidP="00F428EB">
      <w:pPr>
        <w:pStyle w:val="NoSpacing"/>
        <w:spacing w:after="300"/>
        <w:ind w:right="1500"/>
        <w:divId w:val="465317432"/>
        <w:rPr>
          <w:b/>
          <w:bCs/>
        </w:rPr>
      </w:pPr>
      <w:r w:rsidRPr="00F428EB">
        <w:rPr>
          <w:b/>
          <w:bCs/>
        </w:rPr>
        <w:t>Potential Applications:</w:t>
      </w:r>
    </w:p>
    <w:p w14:paraId="3C1470E3" w14:textId="7682618C" w:rsidR="00F428EB" w:rsidRPr="00F428EB" w:rsidRDefault="00F428EB" w:rsidP="00230D7E">
      <w:pPr>
        <w:pStyle w:val="NoSpacing"/>
        <w:numPr>
          <w:ilvl w:val="0"/>
          <w:numId w:val="17"/>
        </w:numPr>
        <w:spacing w:after="300"/>
        <w:ind w:left="530" w:right="57"/>
        <w:jc w:val="both"/>
        <w:divId w:val="465317432"/>
        <w:rPr>
          <w:bCs/>
        </w:rPr>
      </w:pPr>
      <w:r w:rsidRPr="00F428EB">
        <w:rPr>
          <w:bCs/>
        </w:rPr>
        <w:t xml:space="preserve">Policy Analysis: Understanding the complexity and uncertainty of feedstock selection can inform policies that support the transition to more sustainable </w:t>
      </w:r>
      <w:proofErr w:type="spellStart"/>
      <w:r w:rsidRPr="00F428EB">
        <w:rPr>
          <w:bCs/>
        </w:rPr>
        <w:t>biocommodity</w:t>
      </w:r>
      <w:proofErr w:type="spellEnd"/>
      <w:r w:rsidRPr="00F428EB">
        <w:rPr>
          <w:bCs/>
        </w:rPr>
        <w:t xml:space="preserve"> processes, particularly in light of environmental and social challenges.</w:t>
      </w:r>
    </w:p>
    <w:p w14:paraId="418D267E" w14:textId="6F1CFA4A" w:rsidR="00F428EB" w:rsidRPr="00F428EB" w:rsidRDefault="00F428EB" w:rsidP="00230D7E">
      <w:pPr>
        <w:pStyle w:val="NoSpacing"/>
        <w:numPr>
          <w:ilvl w:val="0"/>
          <w:numId w:val="17"/>
        </w:numPr>
        <w:spacing w:after="300"/>
        <w:ind w:left="530" w:right="57"/>
        <w:jc w:val="both"/>
        <w:divId w:val="465317432"/>
        <w:rPr>
          <w:bCs/>
        </w:rPr>
      </w:pPr>
      <w:r>
        <w:rPr>
          <w:bCs/>
        </w:rPr>
        <w:t>Feedstock Strategy:</w:t>
      </w:r>
      <w:r w:rsidRPr="00F428EB">
        <w:rPr>
          <w:bCs/>
        </w:rPr>
        <w:t xml:space="preserve"> Organizations can use the insights on feedstock selection to navigate uncertainties, making informed decisions that align with their sustainability goals, particularly in transitioning from corn to cellulose.</w:t>
      </w:r>
    </w:p>
    <w:p w14:paraId="32709C28" w14:textId="5E7D1087" w:rsidR="00F428EB" w:rsidRPr="00F428EB" w:rsidRDefault="00F428EB" w:rsidP="00230D7E">
      <w:pPr>
        <w:pStyle w:val="NoSpacing"/>
        <w:numPr>
          <w:ilvl w:val="0"/>
          <w:numId w:val="17"/>
        </w:numPr>
        <w:spacing w:after="300"/>
        <w:ind w:left="530" w:right="57"/>
        <w:jc w:val="both"/>
        <w:divId w:val="465317432"/>
        <w:rPr>
          <w:bCs/>
        </w:rPr>
      </w:pPr>
      <w:r w:rsidRPr="00F428EB">
        <w:rPr>
          <w:bCs/>
        </w:rPr>
        <w:t>Sustainability Trajectories: The concept of path dependence can help organizations strategically plan their shift from corn to cellulose, balancing the benefits of established practices with the need for more sustainable options.</w:t>
      </w:r>
    </w:p>
    <w:p w14:paraId="252378D5" w14:textId="50353E19" w:rsidR="00F428EB" w:rsidRPr="00F428EB" w:rsidRDefault="00F428EB" w:rsidP="00230D7E">
      <w:pPr>
        <w:pStyle w:val="NoSpacing"/>
        <w:numPr>
          <w:ilvl w:val="0"/>
          <w:numId w:val="17"/>
        </w:numPr>
        <w:spacing w:after="300"/>
        <w:ind w:left="530" w:right="57"/>
        <w:jc w:val="both"/>
        <w:divId w:val="465317432"/>
        <w:rPr>
          <w:bCs/>
        </w:rPr>
      </w:pPr>
      <w:r w:rsidRPr="00F428EB">
        <w:rPr>
          <w:bCs/>
        </w:rPr>
        <w:t xml:space="preserve">Comparative Studies: Researchers can explore the impact of different </w:t>
      </w:r>
      <w:proofErr w:type="spellStart"/>
      <w:r w:rsidRPr="00F428EB">
        <w:rPr>
          <w:bCs/>
        </w:rPr>
        <w:t>feedstocks</w:t>
      </w:r>
      <w:proofErr w:type="spellEnd"/>
      <w:r w:rsidRPr="00F428EB">
        <w:rPr>
          <w:bCs/>
        </w:rPr>
        <w:t xml:space="preserve"> on sustainability in various contexts, providing insights into global challenges and opportunities in </w:t>
      </w:r>
      <w:proofErr w:type="spellStart"/>
      <w:r w:rsidRPr="00F428EB">
        <w:rPr>
          <w:bCs/>
        </w:rPr>
        <w:t>biocommodity</w:t>
      </w:r>
      <w:proofErr w:type="spellEnd"/>
      <w:r w:rsidRPr="00F428EB">
        <w:rPr>
          <w:bCs/>
        </w:rPr>
        <w:t xml:space="preserve"> engineering.</w:t>
      </w:r>
    </w:p>
    <w:p w14:paraId="5CDF5619" w14:textId="77777777" w:rsidR="00F428EB" w:rsidRPr="00F428EB" w:rsidRDefault="00F428EB" w:rsidP="00F428EB">
      <w:pPr>
        <w:pStyle w:val="NoSpacing"/>
        <w:spacing w:after="300"/>
        <w:ind w:left="458" w:right="1500" w:hanging="142"/>
        <w:divId w:val="465317432"/>
        <w:rPr>
          <w:bCs/>
        </w:rPr>
      </w:pPr>
    </w:p>
    <w:p w14:paraId="69DD0262" w14:textId="77777777" w:rsidR="00230D7E" w:rsidRDefault="00F428EB" w:rsidP="00F428EB">
      <w:pPr>
        <w:pStyle w:val="NoSpacing"/>
        <w:spacing w:after="300"/>
        <w:ind w:right="1500"/>
        <w:divId w:val="465317432"/>
        <w:rPr>
          <w:b/>
          <w:bCs/>
        </w:rPr>
      </w:pPr>
      <w:r w:rsidRPr="00F428EB">
        <w:rPr>
          <w:b/>
          <w:bCs/>
        </w:rPr>
        <w:t xml:space="preserve">  </w:t>
      </w:r>
    </w:p>
    <w:p w14:paraId="570117D6" w14:textId="77777777" w:rsidR="00230D7E" w:rsidRDefault="00230D7E" w:rsidP="00F428EB">
      <w:pPr>
        <w:pStyle w:val="NoSpacing"/>
        <w:spacing w:after="300"/>
        <w:ind w:right="1500"/>
        <w:divId w:val="465317432"/>
        <w:rPr>
          <w:b/>
          <w:bCs/>
        </w:rPr>
      </w:pPr>
    </w:p>
    <w:p w14:paraId="6BB998F9" w14:textId="77777777" w:rsidR="00230D7E" w:rsidRDefault="00230D7E" w:rsidP="00F428EB">
      <w:pPr>
        <w:pStyle w:val="NoSpacing"/>
        <w:spacing w:after="300"/>
        <w:ind w:right="1500"/>
        <w:divId w:val="465317432"/>
        <w:rPr>
          <w:b/>
          <w:bCs/>
        </w:rPr>
      </w:pPr>
    </w:p>
    <w:p w14:paraId="61ADCA3A" w14:textId="5FFC4395" w:rsidR="00F428EB" w:rsidRPr="00F428EB" w:rsidRDefault="00F428EB" w:rsidP="00F428EB">
      <w:pPr>
        <w:pStyle w:val="NoSpacing"/>
        <w:spacing w:after="300"/>
        <w:ind w:right="1500"/>
        <w:divId w:val="465317432"/>
        <w:rPr>
          <w:b/>
          <w:bCs/>
        </w:rPr>
      </w:pPr>
      <w:r w:rsidRPr="00F428EB">
        <w:rPr>
          <w:b/>
          <w:bCs/>
        </w:rPr>
        <w:lastRenderedPageBreak/>
        <w:t>Evaluation:</w:t>
      </w:r>
    </w:p>
    <w:p w14:paraId="334F6684" w14:textId="77777777" w:rsidR="00F428EB" w:rsidRPr="00F428EB" w:rsidRDefault="00F428EB" w:rsidP="00230D7E">
      <w:pPr>
        <w:pStyle w:val="NoSpacing"/>
        <w:spacing w:after="300"/>
        <w:ind w:left="624" w:right="227"/>
        <w:divId w:val="465317432"/>
        <w:rPr>
          <w:b/>
          <w:bCs/>
        </w:rPr>
      </w:pPr>
      <w:r w:rsidRPr="00F428EB">
        <w:rPr>
          <w:b/>
          <w:bCs/>
        </w:rPr>
        <w:t>Clarity:</w:t>
      </w:r>
    </w:p>
    <w:p w14:paraId="5E86C51A" w14:textId="6332EA32" w:rsidR="00F428EB" w:rsidRPr="00F428EB" w:rsidRDefault="00F428EB" w:rsidP="00230D7E">
      <w:pPr>
        <w:pStyle w:val="NoSpacing"/>
        <w:spacing w:after="300"/>
        <w:ind w:left="624" w:right="227"/>
        <w:divId w:val="465317432"/>
        <w:rPr>
          <w:bCs/>
        </w:rPr>
      </w:pPr>
      <w:r w:rsidRPr="00F428EB">
        <w:rPr>
          <w:bCs/>
        </w:rPr>
        <w:t xml:space="preserve">The analysis of feedstock selection in </w:t>
      </w:r>
      <w:proofErr w:type="spellStart"/>
      <w:r w:rsidRPr="00F428EB">
        <w:rPr>
          <w:bCs/>
        </w:rPr>
        <w:t>biocommodity</w:t>
      </w:r>
      <w:proofErr w:type="spellEnd"/>
      <w:r w:rsidRPr="00F428EB">
        <w:rPr>
          <w:bCs/>
        </w:rPr>
        <w:t xml:space="preserve"> engineering, especially for sustainable development, is clearly articulated, explaining the complexities and uncertainties involved. The framework offers a structured approach to understanding these challenges, making the research accessible and applicable to various contexts.</w:t>
      </w:r>
    </w:p>
    <w:p w14:paraId="1CDFAF24" w14:textId="77777777" w:rsidR="00F428EB" w:rsidRDefault="00F428EB" w:rsidP="00230D7E">
      <w:pPr>
        <w:pStyle w:val="NoSpacing"/>
        <w:spacing w:after="300"/>
        <w:ind w:left="624" w:right="227"/>
        <w:divId w:val="465317432"/>
        <w:rPr>
          <w:bCs/>
        </w:rPr>
      </w:pPr>
      <w:r w:rsidRPr="00F428EB">
        <w:rPr>
          <w:b/>
          <w:bCs/>
        </w:rPr>
        <w:t>Relevance:</w:t>
      </w:r>
      <w:r w:rsidRPr="00F428EB">
        <w:rPr>
          <w:bCs/>
        </w:rPr>
        <w:t xml:space="preserve"> </w:t>
      </w:r>
    </w:p>
    <w:p w14:paraId="215DF473" w14:textId="36A6177C" w:rsidR="00F428EB" w:rsidRPr="00F428EB" w:rsidRDefault="00F428EB" w:rsidP="00230D7E">
      <w:pPr>
        <w:pStyle w:val="NoSpacing"/>
        <w:spacing w:after="300"/>
        <w:ind w:left="624" w:right="227"/>
        <w:divId w:val="465317432"/>
        <w:rPr>
          <w:bCs/>
        </w:rPr>
      </w:pPr>
      <w:r w:rsidRPr="00F428EB">
        <w:rPr>
          <w:bCs/>
        </w:rPr>
        <w:t>The research is highly relevant to current discussions on sustainability i</w:t>
      </w:r>
      <w:bookmarkStart w:id="0" w:name="_GoBack"/>
      <w:bookmarkEnd w:id="0"/>
      <w:r w:rsidRPr="00F428EB">
        <w:rPr>
          <w:bCs/>
        </w:rPr>
        <w:t xml:space="preserve">n </w:t>
      </w:r>
      <w:proofErr w:type="spellStart"/>
      <w:r w:rsidRPr="00F428EB">
        <w:rPr>
          <w:bCs/>
        </w:rPr>
        <w:t>biocommodity</w:t>
      </w:r>
      <w:proofErr w:type="spellEnd"/>
      <w:r w:rsidRPr="00F428EB">
        <w:rPr>
          <w:bCs/>
        </w:rPr>
        <w:t xml:space="preserve"> engineering, offering valuable insights for policymakers, organizations, and scholars focused on feedstock selection and sustainable development.</w:t>
      </w:r>
    </w:p>
    <w:p w14:paraId="00C1FC24" w14:textId="77777777" w:rsidR="00F428EB" w:rsidRDefault="00F428EB" w:rsidP="00230D7E">
      <w:pPr>
        <w:pStyle w:val="NoSpacing"/>
        <w:spacing w:after="300"/>
        <w:ind w:left="624" w:right="227"/>
        <w:divId w:val="465317432"/>
        <w:rPr>
          <w:bCs/>
        </w:rPr>
      </w:pPr>
      <w:r w:rsidRPr="00F428EB">
        <w:rPr>
          <w:b/>
          <w:bCs/>
        </w:rPr>
        <w:t>Accuracy:</w:t>
      </w:r>
      <w:r w:rsidRPr="00F428EB">
        <w:rPr>
          <w:bCs/>
        </w:rPr>
        <w:t xml:space="preserve"> </w:t>
      </w:r>
    </w:p>
    <w:p w14:paraId="03F6E3AB" w14:textId="4C4EA94E" w:rsidR="00F428EB" w:rsidRPr="00F428EB" w:rsidRDefault="00F428EB" w:rsidP="00230D7E">
      <w:pPr>
        <w:pStyle w:val="NoSpacing"/>
        <w:spacing w:after="300"/>
        <w:ind w:left="624" w:right="227"/>
        <w:divId w:val="465317432"/>
        <w:rPr>
          <w:bCs/>
        </w:rPr>
      </w:pPr>
      <w:r w:rsidRPr="00F428EB">
        <w:rPr>
          <w:bCs/>
        </w:rPr>
        <w:t>The research is grounded in established theories and frameworks, accurately reflecting the complexities of feedstock selection and its implications for sustainable development. The analysis is well-supported by literature, ensuring that the findings are reliable and applicable.</w:t>
      </w:r>
    </w:p>
    <w:p w14:paraId="650E0111" w14:textId="5B1CF6FE" w:rsidR="00F428EB" w:rsidRPr="00F428EB" w:rsidRDefault="00F428EB" w:rsidP="00F428EB">
      <w:pPr>
        <w:pStyle w:val="NoSpacing"/>
        <w:spacing w:after="300"/>
        <w:ind w:right="1500"/>
        <w:divId w:val="465317432"/>
        <w:rPr>
          <w:b/>
          <w:bCs/>
        </w:rPr>
      </w:pPr>
      <w:r w:rsidRPr="00F428EB">
        <w:rPr>
          <w:b/>
          <w:bCs/>
        </w:rPr>
        <w:t>Reflection:</w:t>
      </w:r>
    </w:p>
    <w:p w14:paraId="1E1A6E14" w14:textId="62FF8801" w:rsidR="0046607C" w:rsidRPr="00F428EB" w:rsidRDefault="00F428EB" w:rsidP="00230D7E">
      <w:pPr>
        <w:pStyle w:val="NoSpacing"/>
        <w:ind w:left="596" w:right="397" w:hanging="142"/>
        <w:divId w:val="465317432"/>
        <w:rPr>
          <w:lang w:val="en"/>
        </w:rPr>
      </w:pPr>
      <w:r>
        <w:rPr>
          <w:bCs/>
        </w:rPr>
        <w:t xml:space="preserve">  </w:t>
      </w:r>
      <w:r w:rsidRPr="00F428EB">
        <w:rPr>
          <w:bCs/>
        </w:rPr>
        <w:t xml:space="preserve">Exploring the complexities of feedstock selection in </w:t>
      </w:r>
      <w:proofErr w:type="spellStart"/>
      <w:r w:rsidRPr="00F428EB">
        <w:rPr>
          <w:bCs/>
        </w:rPr>
        <w:t>biocommodity</w:t>
      </w:r>
      <w:proofErr w:type="spellEnd"/>
      <w:r w:rsidRPr="00F428EB">
        <w:rPr>
          <w:bCs/>
        </w:rPr>
        <w:t xml:space="preserve"> engineering, particularly in the context of sustainable development, has deepened my understanding of how interconnected factors shape outcomes. The research highlighted the challenges of managing uncertainty in feedstock choices, particularly in transitioning from corn to cellulose-based materials. This reflection underscores the importance of strategic planning and adaptability in navigating these complexities, especially when aiming for sustainability. The insights gained from this research will inform future approaches to feedstock selection, emphasizing the need to balance historical continuity with the pursuit of new, sustainable practices.</w:t>
      </w:r>
    </w:p>
    <w:sectPr w:rsidR="0046607C" w:rsidRPr="00F428EB"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Latha">
    <w:altName w:val="Leelawadee UI Semilight"/>
    <w:panose1 w:val="02000400000000000000"/>
    <w:charset w:val="00"/>
    <w:family w:val="swiss"/>
    <w:pitch w:val="variable"/>
    <w:sig w:usb0="00000003" w:usb1="00000000" w:usb2="00000000" w:usb3="00000000" w:csb0="00000001"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E0DB5"/>
    <w:multiLevelType w:val="multilevel"/>
    <w:tmpl w:val="315A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3820DD"/>
    <w:multiLevelType w:val="hybridMultilevel"/>
    <w:tmpl w:val="1206D4F2"/>
    <w:lvl w:ilvl="0" w:tplc="40090001">
      <w:start w:val="1"/>
      <w:numFmt w:val="bullet"/>
      <w:lvlText w:val=""/>
      <w:lvlJc w:val="left"/>
      <w:pPr>
        <w:ind w:left="1036" w:hanging="360"/>
      </w:pPr>
      <w:rPr>
        <w:rFonts w:ascii="Symbol" w:hAnsi="Symbol" w:hint="default"/>
      </w:rPr>
    </w:lvl>
    <w:lvl w:ilvl="1" w:tplc="40090003" w:tentative="1">
      <w:start w:val="1"/>
      <w:numFmt w:val="bullet"/>
      <w:lvlText w:val="o"/>
      <w:lvlJc w:val="left"/>
      <w:pPr>
        <w:ind w:left="1756" w:hanging="360"/>
      </w:pPr>
      <w:rPr>
        <w:rFonts w:ascii="Courier New" w:hAnsi="Courier New" w:cs="Courier New" w:hint="default"/>
      </w:rPr>
    </w:lvl>
    <w:lvl w:ilvl="2" w:tplc="40090005" w:tentative="1">
      <w:start w:val="1"/>
      <w:numFmt w:val="bullet"/>
      <w:lvlText w:val=""/>
      <w:lvlJc w:val="left"/>
      <w:pPr>
        <w:ind w:left="2476" w:hanging="360"/>
      </w:pPr>
      <w:rPr>
        <w:rFonts w:ascii="Wingdings" w:hAnsi="Wingdings" w:hint="default"/>
      </w:rPr>
    </w:lvl>
    <w:lvl w:ilvl="3" w:tplc="40090001" w:tentative="1">
      <w:start w:val="1"/>
      <w:numFmt w:val="bullet"/>
      <w:lvlText w:val=""/>
      <w:lvlJc w:val="left"/>
      <w:pPr>
        <w:ind w:left="3196" w:hanging="360"/>
      </w:pPr>
      <w:rPr>
        <w:rFonts w:ascii="Symbol" w:hAnsi="Symbol" w:hint="default"/>
      </w:rPr>
    </w:lvl>
    <w:lvl w:ilvl="4" w:tplc="40090003" w:tentative="1">
      <w:start w:val="1"/>
      <w:numFmt w:val="bullet"/>
      <w:lvlText w:val="o"/>
      <w:lvlJc w:val="left"/>
      <w:pPr>
        <w:ind w:left="3916" w:hanging="360"/>
      </w:pPr>
      <w:rPr>
        <w:rFonts w:ascii="Courier New" w:hAnsi="Courier New" w:cs="Courier New" w:hint="default"/>
      </w:rPr>
    </w:lvl>
    <w:lvl w:ilvl="5" w:tplc="40090005" w:tentative="1">
      <w:start w:val="1"/>
      <w:numFmt w:val="bullet"/>
      <w:lvlText w:val=""/>
      <w:lvlJc w:val="left"/>
      <w:pPr>
        <w:ind w:left="4636" w:hanging="360"/>
      </w:pPr>
      <w:rPr>
        <w:rFonts w:ascii="Wingdings" w:hAnsi="Wingdings" w:hint="default"/>
      </w:rPr>
    </w:lvl>
    <w:lvl w:ilvl="6" w:tplc="40090001" w:tentative="1">
      <w:start w:val="1"/>
      <w:numFmt w:val="bullet"/>
      <w:lvlText w:val=""/>
      <w:lvlJc w:val="left"/>
      <w:pPr>
        <w:ind w:left="5356" w:hanging="360"/>
      </w:pPr>
      <w:rPr>
        <w:rFonts w:ascii="Symbol" w:hAnsi="Symbol" w:hint="default"/>
      </w:rPr>
    </w:lvl>
    <w:lvl w:ilvl="7" w:tplc="40090003" w:tentative="1">
      <w:start w:val="1"/>
      <w:numFmt w:val="bullet"/>
      <w:lvlText w:val="o"/>
      <w:lvlJc w:val="left"/>
      <w:pPr>
        <w:ind w:left="6076" w:hanging="360"/>
      </w:pPr>
      <w:rPr>
        <w:rFonts w:ascii="Courier New" w:hAnsi="Courier New" w:cs="Courier New" w:hint="default"/>
      </w:rPr>
    </w:lvl>
    <w:lvl w:ilvl="8" w:tplc="40090005" w:tentative="1">
      <w:start w:val="1"/>
      <w:numFmt w:val="bullet"/>
      <w:lvlText w:val=""/>
      <w:lvlJc w:val="left"/>
      <w:pPr>
        <w:ind w:left="6796" w:hanging="360"/>
      </w:pPr>
      <w:rPr>
        <w:rFonts w:ascii="Wingdings" w:hAnsi="Wingdings" w:hint="default"/>
      </w:rPr>
    </w:lvl>
  </w:abstractNum>
  <w:abstractNum w:abstractNumId="11"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C3384"/>
    <w:multiLevelType w:val="hybridMultilevel"/>
    <w:tmpl w:val="1194BB8E"/>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3"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650DF4"/>
    <w:multiLevelType w:val="multilevel"/>
    <w:tmpl w:val="0C16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871A7"/>
    <w:multiLevelType w:val="hybridMultilevel"/>
    <w:tmpl w:val="B2329698"/>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6"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11"/>
  </w:num>
  <w:num w:numId="3">
    <w:abstractNumId w:val="6"/>
  </w:num>
  <w:num w:numId="4">
    <w:abstractNumId w:val="2"/>
  </w:num>
  <w:num w:numId="5">
    <w:abstractNumId w:val="1"/>
  </w:num>
  <w:num w:numId="6">
    <w:abstractNumId w:val="9"/>
  </w:num>
  <w:num w:numId="7">
    <w:abstractNumId w:val="8"/>
  </w:num>
  <w:num w:numId="8">
    <w:abstractNumId w:val="0"/>
  </w:num>
  <w:num w:numId="9">
    <w:abstractNumId w:val="17"/>
  </w:num>
  <w:num w:numId="10">
    <w:abstractNumId w:val="3"/>
  </w:num>
  <w:num w:numId="11">
    <w:abstractNumId w:val="4"/>
  </w:num>
  <w:num w:numId="12">
    <w:abstractNumId w:val="16"/>
  </w:num>
  <w:num w:numId="13">
    <w:abstractNumId w:val="7"/>
  </w:num>
  <w:num w:numId="14">
    <w:abstractNumId w:val="14"/>
  </w:num>
  <w:num w:numId="15">
    <w:abstractNumId w:val="5"/>
  </w:num>
  <w:num w:numId="16">
    <w:abstractNumId w:val="12"/>
  </w:num>
  <w:num w:numId="17">
    <w:abstractNumId w:val="1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5615"/>
    <w:rsid w:val="000C17D7"/>
    <w:rsid w:val="001513C5"/>
    <w:rsid w:val="00224EEC"/>
    <w:rsid w:val="00230D7E"/>
    <w:rsid w:val="00234B39"/>
    <w:rsid w:val="00240473"/>
    <w:rsid w:val="002631E9"/>
    <w:rsid w:val="002F7499"/>
    <w:rsid w:val="0046607C"/>
    <w:rsid w:val="004E340C"/>
    <w:rsid w:val="005244B8"/>
    <w:rsid w:val="005462B1"/>
    <w:rsid w:val="005A113F"/>
    <w:rsid w:val="00611AC1"/>
    <w:rsid w:val="00856812"/>
    <w:rsid w:val="00A365EC"/>
    <w:rsid w:val="00A958D5"/>
    <w:rsid w:val="00B45D63"/>
    <w:rsid w:val="00C47846"/>
    <w:rsid w:val="00D95A30"/>
    <w:rsid w:val="00DD5008"/>
    <w:rsid w:val="00EB2D84"/>
    <w:rsid w:val="00EB63BE"/>
    <w:rsid w:val="00EC2199"/>
    <w:rsid w:val="00F428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customStyle="1"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 w:id="1992634554">
                  <w:marLeft w:val="0"/>
                  <w:marRight w:val="0"/>
                  <w:marTop w:val="0"/>
                  <w:marBottom w:val="0"/>
                  <w:divBdr>
                    <w:top w:val="none" w:sz="0" w:space="0" w:color="auto"/>
                    <w:left w:val="none" w:sz="0" w:space="0" w:color="auto"/>
                    <w:bottom w:val="none" w:sz="0" w:space="0" w:color="auto"/>
                    <w:right w:val="none" w:sz="0" w:space="0" w:color="auto"/>
                  </w:divBdr>
                </w:div>
                <w:div w:id="2067142889">
                  <w:marLeft w:val="0"/>
                  <w:marRight w:val="0"/>
                  <w:marTop w:val="0"/>
                  <w:marBottom w:val="0"/>
                  <w:divBdr>
                    <w:top w:val="none" w:sz="0" w:space="0" w:color="auto"/>
                    <w:left w:val="none" w:sz="0" w:space="0" w:color="auto"/>
                    <w:bottom w:val="none" w:sz="0" w:space="0" w:color="auto"/>
                    <w:right w:val="none" w:sz="0" w:space="0" w:color="auto"/>
                  </w:divBdr>
                </w:div>
                <w:div w:id="892305222">
                  <w:marLeft w:val="0"/>
                  <w:marRight w:val="0"/>
                  <w:marTop w:val="0"/>
                  <w:marBottom w:val="0"/>
                  <w:divBdr>
                    <w:top w:val="none" w:sz="0" w:space="0" w:color="auto"/>
                    <w:left w:val="none" w:sz="0" w:space="0" w:color="auto"/>
                    <w:bottom w:val="none" w:sz="0" w:space="0" w:color="auto"/>
                    <w:right w:val="none" w:sz="0" w:space="0" w:color="auto"/>
                  </w:divBdr>
                </w:div>
                <w:div w:id="30419954">
                  <w:marLeft w:val="0"/>
                  <w:marRight w:val="0"/>
                  <w:marTop w:val="0"/>
                  <w:marBottom w:val="0"/>
                  <w:divBdr>
                    <w:top w:val="none" w:sz="0" w:space="0" w:color="auto"/>
                    <w:left w:val="none" w:sz="0" w:space="0" w:color="auto"/>
                    <w:bottom w:val="none" w:sz="0" w:space="0" w:color="auto"/>
                    <w:right w:val="none" w:sz="0" w:space="0" w:color="auto"/>
                  </w:divBdr>
                </w:div>
                <w:div w:id="1540782797">
                  <w:marLeft w:val="0"/>
                  <w:marRight w:val="0"/>
                  <w:marTop w:val="0"/>
                  <w:marBottom w:val="0"/>
                  <w:divBdr>
                    <w:top w:val="none" w:sz="0" w:space="0" w:color="auto"/>
                    <w:left w:val="none" w:sz="0" w:space="0" w:color="auto"/>
                    <w:bottom w:val="none" w:sz="0" w:space="0" w:color="auto"/>
                    <w:right w:val="none" w:sz="0" w:space="0" w:color="auto"/>
                  </w:divBdr>
                </w:div>
                <w:div w:id="14401032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ellulosicbiomasslab.engr.ucr.edu/sites/default/files/2019-02/Biocommodity%20Engineering.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F19D-D2C2-4396-80B4-A13FB19C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Surya Kumar</cp:lastModifiedBy>
  <cp:revision>2</cp:revision>
  <dcterms:created xsi:type="dcterms:W3CDTF">2024-09-03T07:04:00Z</dcterms:created>
  <dcterms:modified xsi:type="dcterms:W3CDTF">2024-09-03T07:04:00Z</dcterms:modified>
</cp:coreProperties>
</file>