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2956" w14:textId="167CC5E3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Convergence Analysis for Design B</w:t>
      </w:r>
    </w:p>
    <w:p w14:paraId="04E49A5C" w14:textId="09C1D02C" w:rsidR="00D17231" w:rsidRPr="00D17231" w:rsidRDefault="00D17231" w:rsidP="00D17231">
      <w:p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Federated RF–Diffusion Map–Alignment–Global Model Pipeline</w:t>
      </w:r>
    </w:p>
    <w:p w14:paraId="51025C04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Purpose</w:t>
      </w:r>
    </w:p>
    <w:p w14:paraId="6AE73103" w14:textId="3E75013B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Integrates three core convergence metrics (latent representation, prediction, and loss) into Design B across federated training rounds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. </w:t>
      </w:r>
    </w:p>
    <w:p w14:paraId="425022FF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1. Iterative Design B Pipeline</w:t>
      </w:r>
    </w:p>
    <w:p w14:paraId="175B617D" w14:textId="77E57CF8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At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, client 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D17231">
        <w:rPr>
          <w:sz w:val="22"/>
          <w:szCs w:val="22"/>
        </w:rPr>
        <w:t xml:space="preserve"> processes private data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builds local latent features, protects and aligns them, and sends them to the server for global aggregation: </w:t>
      </w:r>
    </w:p>
    <w:p w14:paraId="27B7AB83" w14:textId="77777777" w:rsidR="00D17231" w:rsidRPr="00D17231" w:rsidRDefault="00D17231" w:rsidP="00D17231">
      <w:pPr>
        <w:rPr>
          <w:sz w:val="22"/>
          <w:szCs w:val="22"/>
        </w:rPr>
      </w:pPr>
    </w:p>
    <w:p w14:paraId="4C3B95C8" w14:textId="72AAB93E" w:rsidR="00D17231" w:rsidRPr="00D17231" w:rsidRDefault="00000000" w:rsidP="00D17231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sz w:val="22"/>
                  <w:szCs w:val="22"/>
                </w:rPr>
                <m:t>RF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Privacy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Alignment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Aggregation</m:t>
          </m:r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</m:oMath>
      </m:oMathPara>
    </w:p>
    <w:p w14:paraId="5AA85E05" w14:textId="54946834" w:rsidR="00D17231" w:rsidRPr="00D17231" w:rsidRDefault="00000000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groupChr>
            <m:groupChrPr>
              <m:chr m:val="→"/>
              <m:vertJc m:val="bot"/>
              <m:ctrlPr>
                <w:rPr>
                  <w:rFonts w:ascii="Cambria Math" w:hAnsi="Cambria Math"/>
                  <w:sz w:val="22"/>
                  <w:szCs w:val="22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boxPr>
                <m:e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Broadcast</m:t>
                  </m:r>
                </m:e>
              </m:box>
            </m:e>
          </m:groupChr>
          <m:r>
            <m:rPr>
              <m:nor/>
            </m:rPr>
            <w:rPr>
              <w:sz w:val="22"/>
              <w:szCs w:val="22"/>
            </w:rPr>
            <m:t>Clients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Round </m:t>
          </m:r>
          <m:r>
            <w:rPr>
              <w:rFonts w:ascii="Cambria Math" w:hAnsi="Cambria Math"/>
              <w:sz w:val="22"/>
              <w:szCs w:val="22"/>
            </w:rPr>
            <m:t>r+1</m:t>
          </m:r>
        </m:oMath>
      </m:oMathPara>
    </w:p>
    <w:p w14:paraId="082BC32E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2. Convergence Metrics</w:t>
      </w:r>
    </w:p>
    <w:p w14:paraId="11EB7BA1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A. Global Representation Convergence (Primary Metric)</w:t>
      </w:r>
    </w:p>
    <w:p w14:paraId="11F280A5" w14:textId="3BC04876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Monitors structural stability of the aggregated global latent space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: </w:t>
      </w:r>
    </w:p>
    <w:p w14:paraId="1F3DF36A" w14:textId="77777777" w:rsidR="00D17231" w:rsidRPr="00D17231" w:rsidRDefault="00D17231" w:rsidP="00D17231">
      <w:pPr>
        <w:rPr>
          <w:sz w:val="22"/>
          <w:szCs w:val="22"/>
        </w:rPr>
      </w:pPr>
    </w:p>
    <w:p w14:paraId="45920C23" w14:textId="5C6E8275" w:rsidR="00D17231" w:rsidRPr="00D17231" w:rsidRDefault="00000000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+ε</m:t>
              </m:r>
            </m:den>
          </m:f>
        </m:oMath>
      </m:oMathPara>
    </w:p>
    <w:p w14:paraId="098C7D94" w14:textId="2116EEFE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A small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 confirms that the shared latent manifold has stabilized. </w:t>
      </w:r>
    </w:p>
    <w:p w14:paraId="6DBA3D93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B. Prediction Convergence</w:t>
      </w:r>
    </w:p>
    <w:p w14:paraId="1CD9340E" w14:textId="519167B1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Measures decision stability on a fixed validation set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val</m:t>
            </m:r>
          </m:sub>
        </m:sSub>
      </m:oMath>
      <w:r w:rsidRPr="00D17231">
        <w:rPr>
          <w:sz w:val="22"/>
          <w:szCs w:val="22"/>
        </w:rPr>
        <w:t xml:space="preserve"> using predictions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r>
          <w:rPr>
            <w:rFonts w:ascii="Cambria Math" w:hAnsi="Cambria Math"/>
            <w:sz w:val="22"/>
            <w:szCs w:val="22"/>
          </w:rPr>
          <m:t>=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p>
            </m:sSubSup>
          </m:e>
        </m:d>
      </m:oMath>
      <w:r w:rsidRPr="00D17231">
        <w:rPr>
          <w:sz w:val="22"/>
          <w:szCs w:val="22"/>
        </w:rPr>
        <w:t xml:space="preserve">: </w:t>
      </w:r>
    </w:p>
    <w:p w14:paraId="53AEB61B" w14:textId="77777777" w:rsidR="00D17231" w:rsidRPr="00D17231" w:rsidRDefault="00D17231" w:rsidP="00D17231">
      <w:pPr>
        <w:rPr>
          <w:sz w:val="22"/>
          <w:szCs w:val="22"/>
        </w:rPr>
      </w:pPr>
    </w:p>
    <w:p w14:paraId="6E2219D8" w14:textId="034E4961" w:rsidR="00D17231" w:rsidRPr="00D17231" w:rsidRDefault="00000000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pred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i: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≠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val</m:t>
                  </m:r>
                </m:sub>
              </m:sSub>
            </m:den>
          </m:f>
        </m:oMath>
      </m:oMathPara>
    </w:p>
    <w:p w14:paraId="2D465D7E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C. Loss Convergence</w:t>
      </w:r>
    </w:p>
    <w:p w14:paraId="0D77CB29" w14:textId="6D61BCFE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Measures global error variation on validation set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b>
            </m:sSub>
          </m:e>
        </m:d>
      </m:oMath>
      <w:r w:rsidRPr="00D17231">
        <w:rPr>
          <w:sz w:val="22"/>
          <w:szCs w:val="22"/>
        </w:rPr>
        <w:t xml:space="preserve">: </w:t>
      </w:r>
    </w:p>
    <w:p w14:paraId="343BFCD8" w14:textId="4A38A147" w:rsidR="00D17231" w:rsidRPr="00D17231" w:rsidRDefault="00000000" w:rsidP="00D17231">
      <w:pPr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=l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val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2"/>
                          <w:szCs w:val="22"/>
                        </w:rPr>
                        <m:t>val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⟹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r-1</m:t>
                  </m:r>
                </m:e>
              </m:d>
            </m:sup>
          </m:sSup>
        </m:oMath>
      </m:oMathPara>
    </w:p>
    <w:p w14:paraId="7C5FAA14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3. Summary of Convergence Criteria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1746"/>
        <w:gridCol w:w="2708"/>
        <w:gridCol w:w="1824"/>
      </w:tblGrid>
      <w:tr w:rsidR="00D17231" w:rsidRPr="00D17231" w14:paraId="455A86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C9A2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3C2B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Formulation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2241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Target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C8FE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Validation Set</w:t>
            </w:r>
          </w:p>
        </w:tc>
      </w:tr>
      <w:tr w:rsidR="00D17231" w:rsidRPr="00D17231" w14:paraId="5496C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67F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Global Representation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655F" w14:textId="3B460E27" w:rsidR="00D17231" w:rsidRPr="00D17231" w:rsidRDefault="00000000" w:rsidP="00D17231">
            <w:pPr>
              <w:rPr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</m:oMath>
            <w:r w:rsidR="00D17231" w:rsidRPr="00D17231">
              <w:rPr>
                <w:sz w:val="22"/>
                <w:szCs w:val="22"/>
              </w:rPr>
              <w:t xml:space="preserve"> vs. 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CF25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Latent manifold stability </w:t>
            </w:r>
          </w:p>
          <w:p w14:paraId="440E8BEB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892A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No </w:t>
            </w:r>
          </w:p>
          <w:p w14:paraId="7E0D0571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  <w:tr w:rsidR="00D17231" w:rsidRPr="00D17231" w14:paraId="3AE87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C9AC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D8FF8" w14:textId="158EA1C3" w:rsidR="00D17231" w:rsidRPr="00D17231" w:rsidRDefault="00000000" w:rsidP="00D17231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="00D17231" w:rsidRPr="00D17231">
              <w:rPr>
                <w:sz w:val="22"/>
                <w:szCs w:val="22"/>
              </w:rPr>
              <w:t xml:space="preserve"> vs.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F7A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Model decision stability </w:t>
            </w:r>
          </w:p>
          <w:p w14:paraId="3E52BF34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0470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Yes </w:t>
            </w:r>
          </w:p>
          <w:p w14:paraId="087CE84D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  <w:tr w:rsidR="00D17231" w:rsidRPr="00D17231" w14:paraId="45C0F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B156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D722" w14:textId="19D937F8" w:rsidR="00D17231" w:rsidRPr="00D17231" w:rsidRDefault="00000000" w:rsidP="00D17231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="00D17231" w:rsidRPr="00D17231">
              <w:rPr>
                <w:sz w:val="22"/>
                <w:szCs w:val="22"/>
              </w:rPr>
              <w:t xml:space="preserve"> vs.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F13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Predictive error stability </w:t>
            </w:r>
          </w:p>
          <w:p w14:paraId="2DFFB2B6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7CC21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Yes </w:t>
            </w:r>
          </w:p>
          <w:p w14:paraId="1FDEE9ED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</w:tbl>
    <w:p w14:paraId="17DFAB45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4. Federated Stopping Rule</w:t>
      </w:r>
    </w:p>
    <w:p w14:paraId="7ABA286A" w14:textId="779E2A2C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Training terminates at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 when all conditions hold for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 w:rsidRPr="00D17231">
        <w:rPr>
          <w:sz w:val="22"/>
          <w:szCs w:val="22"/>
        </w:rPr>
        <w:t xml:space="preserve"> consecutive rounds: </w:t>
      </w:r>
    </w:p>
    <w:p w14:paraId="52AD6D1B" w14:textId="77777777" w:rsidR="00D17231" w:rsidRPr="00D17231" w:rsidRDefault="00D17231" w:rsidP="00D17231">
      <w:pPr>
        <w:rPr>
          <w:sz w:val="22"/>
          <w:szCs w:val="22"/>
        </w:rPr>
      </w:pPr>
    </w:p>
    <w:p w14:paraId="623F95B9" w14:textId="44AD35CD" w:rsidR="00D17231" w:rsidRPr="00D17231" w:rsidRDefault="00000000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i/>
              <w:sz w:val="22"/>
              <w:szCs w:val="22"/>
            </w:rPr>
            <m:t> 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pred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i/>
              <w:sz w:val="22"/>
              <w:szCs w:val="22"/>
            </w:rPr>
            <m:t> </m:t>
          </m:r>
          <m:r>
            <w:rPr>
              <w:rFonts w:ascii="Cambria Math" w:hAnsi="Cambria Math"/>
              <w:sz w:val="22"/>
              <w:szCs w:val="22"/>
            </w:rPr>
            <m:t>|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|&lt;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</m:oMath>
      </m:oMathPara>
    </w:p>
    <w:p w14:paraId="3C5FD025" w14:textId="77777777" w:rsidR="00D17231" w:rsidRPr="00D17231" w:rsidRDefault="00D17231" w:rsidP="00D17231">
      <w:pPr>
        <w:rPr>
          <w:sz w:val="22"/>
          <w:szCs w:val="22"/>
        </w:rPr>
      </w:pPr>
    </w:p>
    <w:p w14:paraId="42C0F189" w14:textId="4891DC74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(Note: Thresholds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L</m:t>
            </m:r>
          </m:sub>
        </m:sSub>
      </m:oMath>
      <w:r w:rsidRPr="00D17231">
        <w:rPr>
          <w:sz w:val="22"/>
          <w:szCs w:val="22"/>
        </w:rPr>
        <w:t xml:space="preserve"> must be selected empirically.) </w:t>
      </w:r>
    </w:p>
    <w:p w14:paraId="13629BE0" w14:textId="798FED4B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br/>
      </w:r>
      <w:r w:rsidRPr="00D17231">
        <w:rPr>
          <w:b/>
          <w:bCs/>
          <w:sz w:val="22"/>
          <w:szCs w:val="22"/>
        </w:rPr>
        <w:t>5. Round-by-Round Execution Workflow</w:t>
      </w:r>
    </w:p>
    <w:p w14:paraId="49029BF1" w14:textId="3F613E0A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Local Representation Construction:</w:t>
      </w:r>
    </w:p>
    <w:p w14:paraId="042555E7" w14:textId="7579B389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Each client 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D17231">
        <w:rPr>
          <w:sz w:val="22"/>
          <w:szCs w:val="22"/>
        </w:rPr>
        <w:t xml:space="preserve"> uses private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 to compute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sz w:val="22"/>
                <w:szCs w:val="22"/>
              </w:rPr>
              <m:t>RF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kernel matrix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and local coordinates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>.</w:t>
      </w:r>
    </w:p>
    <w:p w14:paraId="3F9C44C2" w14:textId="0FD24F89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2.Privacy &amp; Alignment Transformations:</w:t>
      </w:r>
    </w:p>
    <w:p w14:paraId="69069586" w14:textId="176764CF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Local representations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 are differentially protected and aligned via reference prototype mapping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>.</w:t>
      </w:r>
    </w:p>
    <w:p w14:paraId="5A37A937" w14:textId="10F54B46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Aggregation &amp; Model Update:</w:t>
      </w:r>
    </w:p>
    <w:p w14:paraId="246387FC" w14:textId="65BC5D61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Server aggregates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trains global model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>, and broadcasts parameters back to clients.</w:t>
      </w:r>
    </w:p>
    <w:p w14:paraId="44C23977" w14:textId="44A9C6D0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Evaluation &amp; Stopping Assessment:</w:t>
      </w:r>
    </w:p>
    <w:p w14:paraId="6A2369E9" w14:textId="6656D2B8" w:rsid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Calculate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pred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and </w:t>
      </w:r>
      <m:oMath>
        <m:r>
          <w:rPr>
            <w:rFonts w:ascii="Cambria Math" w:hAnsi="Cambria Math"/>
            <w:sz w:val="22"/>
            <w:szCs w:val="22"/>
          </w:rPr>
          <m:t>|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p>
        <m:r>
          <w:rPr>
            <w:rFonts w:ascii="Cambria Math" w:hAnsi="Cambria Math"/>
            <w:sz w:val="22"/>
            <w:szCs w:val="22"/>
          </w:rPr>
          <m:t>|</m:t>
        </m:r>
      </m:oMath>
      <w:r w:rsidRPr="00D17231">
        <w:rPr>
          <w:sz w:val="22"/>
          <w:szCs w:val="22"/>
        </w:rPr>
        <w:t xml:space="preserve">. If converged, terminate; otherwise proceed to round </w:t>
      </w:r>
      <m:oMath>
        <m:r>
          <w:rPr>
            <w:rFonts w:ascii="Cambria Math" w:hAnsi="Cambria Math"/>
            <w:sz w:val="22"/>
            <w:szCs w:val="22"/>
          </w:rPr>
          <m:t>r+1</m:t>
        </m:r>
      </m:oMath>
      <w:r w:rsidRPr="00D17231">
        <w:rPr>
          <w:sz w:val="22"/>
          <w:szCs w:val="22"/>
        </w:rPr>
        <w:t>.</w:t>
      </w:r>
    </w:p>
    <w:p w14:paraId="295CCE6C" w14:textId="77777777" w:rsidR="00D17231" w:rsidRDefault="00D17231" w:rsidP="00D17231">
      <w:pPr>
        <w:pStyle w:val="ListParagraph"/>
        <w:rPr>
          <w:sz w:val="22"/>
          <w:szCs w:val="22"/>
        </w:rPr>
      </w:pPr>
    </w:p>
    <w:p w14:paraId="741F2AFC" w14:textId="5021B3E5" w:rsidR="00D17231" w:rsidRPr="00D17231" w:rsidRDefault="00D17231" w:rsidP="00D17231">
      <w:pPr>
        <w:pStyle w:val="ListParagraph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A0BD70" wp14:editId="468AA67C">
            <wp:extent cx="3345180" cy="2705100"/>
            <wp:effectExtent l="0" t="0" r="7620" b="0"/>
            <wp:docPr id="539273599" name="Picture 1" descr="Typical convergence trends showing validation behavior across round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ical convergence trends showing validation behavior across rounds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AC7A" w14:textId="49861ABF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br/>
      </w:r>
      <w:r w:rsidRPr="00D17231">
        <w:rPr>
          <w:b/>
          <w:bCs/>
          <w:sz w:val="22"/>
          <w:szCs w:val="22"/>
        </w:rPr>
        <w:t>6. Interpretation &amp; Visualization</w:t>
      </w:r>
    </w:p>
    <w:p w14:paraId="6322AFD7" w14:textId="6E58C61F" w:rsidR="00D17231" w:rsidRPr="00D17231" w:rsidRDefault="00D17231" w:rsidP="00D17231">
      <w:pPr>
        <w:numPr>
          <w:ilvl w:val="0"/>
          <w:numId w:val="1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Primary Focus:</w:t>
      </w:r>
      <w:r w:rsidRPr="00D17231">
        <w:rPr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 serves as the primary indicator because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</m:oMath>
      <w:r w:rsidRPr="00D17231">
        <w:rPr>
          <w:sz w:val="22"/>
          <w:szCs w:val="22"/>
        </w:rPr>
        <w:t xml:space="preserve"> is the core output of the alignment-aggregation pipeline. </w:t>
      </w:r>
    </w:p>
    <w:p w14:paraId="44C0BE0C" w14:textId="77777777" w:rsidR="00D17231" w:rsidRPr="00D17231" w:rsidRDefault="00D17231" w:rsidP="00D17231">
      <w:pPr>
        <w:rPr>
          <w:sz w:val="22"/>
          <w:szCs w:val="22"/>
        </w:rPr>
      </w:pPr>
    </w:p>
    <w:p w14:paraId="31479E43" w14:textId="205A3429" w:rsidR="00D17231" w:rsidRPr="00D17231" w:rsidRDefault="00D17231" w:rsidP="00D17231">
      <w:pPr>
        <w:numPr>
          <w:ilvl w:val="0"/>
          <w:numId w:val="1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Visualization:</w:t>
      </w:r>
      <w:r w:rsidRPr="00D17231">
        <w:rPr>
          <w:sz w:val="22"/>
          <w:szCs w:val="22"/>
        </w:rPr>
        <w:t xml:space="preserve"> Plot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pred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and </w:t>
      </w:r>
      <m:oMath>
        <m:r>
          <w:rPr>
            <w:rFonts w:ascii="Cambria Math" w:hAnsi="Cambria Math"/>
            <w:sz w:val="22"/>
            <w:szCs w:val="22"/>
          </w:rPr>
          <m:t>|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p>
        <m:r>
          <w:rPr>
            <w:rFonts w:ascii="Cambria Math" w:hAnsi="Cambria Math"/>
            <w:sz w:val="22"/>
            <w:szCs w:val="22"/>
          </w:rPr>
          <m:t>|</m:t>
        </m:r>
      </m:oMath>
      <w:r w:rsidRPr="00D17231">
        <w:rPr>
          <w:sz w:val="22"/>
          <w:szCs w:val="22"/>
        </w:rPr>
        <w:t xml:space="preserve"> vs.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 on a logarithmic vertical axis to observe plateauing behavior. </w:t>
      </w:r>
    </w:p>
    <w:p w14:paraId="3A53C9BC" w14:textId="77777777" w:rsidR="000B3F91" w:rsidRPr="00D17231" w:rsidRDefault="000B3F91">
      <w:pPr>
        <w:rPr>
          <w:sz w:val="22"/>
          <w:szCs w:val="22"/>
        </w:rPr>
      </w:pPr>
    </w:p>
    <w:sectPr w:rsidR="000B3F91" w:rsidRPr="00D1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60FD8"/>
    <w:multiLevelType w:val="multilevel"/>
    <w:tmpl w:val="144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B5EBB"/>
    <w:multiLevelType w:val="hybridMultilevel"/>
    <w:tmpl w:val="ECE0E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759750">
    <w:abstractNumId w:val="0"/>
  </w:num>
  <w:num w:numId="2" w16cid:durableId="18910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31"/>
    <w:rsid w:val="000B3F91"/>
    <w:rsid w:val="0022405B"/>
    <w:rsid w:val="005007D1"/>
    <w:rsid w:val="00827869"/>
    <w:rsid w:val="009604C3"/>
    <w:rsid w:val="00D17231"/>
    <w:rsid w:val="00F2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8A50"/>
  <w15:chartTrackingRefBased/>
  <w15:docId w15:val="{9318C829-9E61-4D60-854E-B2417575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2</cp:revision>
  <dcterms:created xsi:type="dcterms:W3CDTF">2026-09-23T17:18:00Z</dcterms:created>
  <dcterms:modified xsi:type="dcterms:W3CDTF">2026-09-25T09:53:00Z</dcterms:modified>
</cp:coreProperties>
</file>