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302F5" w14:textId="77777777" w:rsidR="002508AB" w:rsidRPr="002508AB" w:rsidRDefault="002508AB" w:rsidP="002508AB">
      <w:pPr>
        <w:rPr>
          <w:b/>
          <w:bCs/>
        </w:rPr>
      </w:pPr>
      <w:r w:rsidRPr="002508AB">
        <w:rPr>
          <w:b/>
          <w:bCs/>
        </w:rPr>
        <w:t>Approach 1: Scalar-Based ZKP</w:t>
      </w:r>
    </w:p>
    <w:p w14:paraId="39355136" w14:textId="77777777" w:rsidR="002508AB" w:rsidRPr="002508AB" w:rsidRDefault="002508AB" w:rsidP="002508AB">
      <w:r w:rsidRPr="002508AB">
        <w:t>Use the existing zero-knowledge proof (ZKP) protocol exclusively for client authentication.</w:t>
      </w:r>
    </w:p>
    <w:p w14:paraId="4D796726" w14:textId="77777777" w:rsidR="002508AB" w:rsidRPr="002508AB" w:rsidRDefault="002508AB" w:rsidP="002508AB">
      <w:r w:rsidRPr="002508AB">
        <w:rPr>
          <w:b/>
          <w:bCs/>
        </w:rPr>
        <w:t>Authentication Pipeline</w:t>
      </w:r>
    </w:p>
    <w:p w14:paraId="4576F12D" w14:textId="18F11A69" w:rsidR="002508AB" w:rsidRPr="002508AB" w:rsidRDefault="002508AB" w:rsidP="002508AB">
      <m:oMathPara>
        <m:oMath>
          <m:borderBox>
            <m:borderBoxPr>
              <m:ctrlPr>
                <w:rPr>
                  <w:rFonts w:ascii="Cambria Math" w:hAnsi="Cambria Math"/>
                </w:rPr>
              </m:ctrlPr>
            </m:borderBoxPr>
            <m:e>
              <m:r>
                <m:rPr>
                  <m:nor/>
                </m:rPr>
                <m:t>Client authentication</m:t>
              </m:r>
              <m:r>
                <w:rPr>
                  <w:rFonts w:ascii="Cambria Math" w:hAnsi="Cambria Math"/>
                </w:rPr>
                <m:t>→R</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c</m:t>
                  </m:r>
                </m:sub>
                <m:sup>
                  <m:r>
                    <w:rPr>
                      <w:rFonts w:ascii="Cambria Math" w:hAnsi="Cambria Math"/>
                    </w:rPr>
                    <m:t>RF</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r>
                <m:rPr>
                  <m:nor/>
                </m:rPr>
                <m:t>DP</m:t>
              </m:r>
              <m:r>
                <w:rPr>
                  <w:rFonts w:ascii="Cambria Math" w:hAnsi="Cambria Math"/>
                </w:rPr>
                <m:t>→</m:t>
              </m:r>
              <m:r>
                <m:rPr>
                  <m:nor/>
                </m:rPr>
                <m:t>Aggregation</m:t>
              </m:r>
            </m:e>
          </m:borderBox>
        </m:oMath>
      </m:oMathPara>
    </w:p>
    <w:p w14:paraId="7F0F130D" w14:textId="77777777" w:rsidR="002508AB" w:rsidRPr="002508AB" w:rsidRDefault="002508AB" w:rsidP="002508AB">
      <w:pPr>
        <w:numPr>
          <w:ilvl w:val="0"/>
          <w:numId w:val="5"/>
        </w:numPr>
      </w:pPr>
      <w:r w:rsidRPr="002508AB">
        <w:rPr>
          <w:b/>
          <w:bCs/>
        </w:rPr>
        <w:t>Advantages:</w:t>
      </w:r>
      <w:r w:rsidRPr="002508AB">
        <w:t xml:space="preserve"> Requires minimal changes to the existing protocol, features lower implementation complexity, and cleanly separates authentication from representation learning.</w:t>
      </w:r>
    </w:p>
    <w:p w14:paraId="005AD369" w14:textId="77777777" w:rsidR="002508AB" w:rsidRPr="002508AB" w:rsidRDefault="002508AB" w:rsidP="002508AB">
      <w:pPr>
        <w:numPr>
          <w:ilvl w:val="0"/>
          <w:numId w:val="5"/>
        </w:numPr>
      </w:pPr>
      <w:r w:rsidRPr="002508AB">
        <w:rPr>
          <w:b/>
          <w:bCs/>
        </w:rPr>
        <w:t>Limitations:</w:t>
      </w:r>
      <w:r w:rsidRPr="002508AB">
        <w:t xml:space="preserve"> A successful authentication confirms identity but does not prove the client's representation or model update is actually correct.</w:t>
      </w:r>
    </w:p>
    <w:p w14:paraId="376D1606" w14:textId="77777777" w:rsidR="002508AB" w:rsidRPr="002508AB" w:rsidRDefault="002508AB" w:rsidP="002508AB">
      <w:pPr>
        <w:numPr>
          <w:ilvl w:val="0"/>
          <w:numId w:val="5"/>
        </w:numPr>
      </w:pPr>
      <w:r w:rsidRPr="002508AB">
        <w:rPr>
          <w:b/>
          <w:bCs/>
        </w:rPr>
        <w:t>Recommendation:</w:t>
      </w:r>
      <w:r w:rsidRPr="002508AB">
        <w:t xml:space="preserve"> Use this approach if your primary objective is simply preventing unauthorized clients from participating in Design B.</w:t>
      </w:r>
    </w:p>
    <w:p w14:paraId="6EF2A478" w14:textId="77777777" w:rsidR="002508AB" w:rsidRPr="002508AB" w:rsidRDefault="002508AB" w:rsidP="002508AB">
      <w:pPr>
        <w:rPr>
          <w:b/>
          <w:bCs/>
        </w:rPr>
      </w:pPr>
      <w:r w:rsidRPr="002508AB">
        <w:rPr>
          <w:b/>
          <w:bCs/>
        </w:rPr>
        <w:t>Approach 2: Vector or Matrix Commitment</w:t>
      </w:r>
    </w:p>
    <w:p w14:paraId="6D9C71F9" w14:textId="77777777" w:rsidR="002508AB" w:rsidRPr="002508AB" w:rsidRDefault="002508AB" w:rsidP="002508AB">
      <w:r w:rsidRPr="002508AB">
        <w:t>Extend the commitment mechanism to verify a client's underlying data representations.</w:t>
      </w:r>
    </w:p>
    <w:p w14:paraId="25CD4A54" w14:textId="635BA454" w:rsidR="002508AB" w:rsidRPr="002508AB" w:rsidRDefault="002508AB" w:rsidP="002508AB">
      <w:r w:rsidRPr="002508AB">
        <w:t xml:space="preserve">If a client has a latent vector </w:t>
      </w:r>
      <m:oMath>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c,1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z</m:t>
                    </m:r>
                  </m:sub>
                </m:sSub>
              </m:sub>
            </m:sSub>
          </m:e>
        </m:d>
      </m:oMath>
      <w:r w:rsidRPr="002508AB">
        <w:t>, you can construct a generalized vector commitment:</w:t>
      </w:r>
    </w:p>
    <w:p w14:paraId="4FA94F82" w14:textId="197049FE" w:rsidR="002508AB" w:rsidRPr="002508AB" w:rsidRDefault="002508AB" w:rsidP="002508A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c</m:t>
                  </m:r>
                </m:sub>
              </m:sSub>
              <m: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d</m:t>
                          </m:r>
                        </m:e>
                        <m:sub>
                          <m:r>
                            <w:rPr>
                              <w:rFonts w:ascii="Cambria Math" w:hAnsi="Cambria Math"/>
                            </w:rPr>
                            <m:t>z</m:t>
                          </m:r>
                        </m:sub>
                      </m:sSub>
                    </m:sup>
                    <m:e>
                      <m:sSubSup>
                        <m:sSubSupPr>
                          <m:ctrlPr>
                            <w:rPr>
                              <w:rFonts w:ascii="Cambria Math" w:hAnsi="Cambria Math"/>
                            </w:rPr>
                          </m:ctrlPr>
                        </m:sSubSupPr>
                        <m:e>
                          <m:r>
                            <w:rPr>
                              <w:rFonts w:ascii="Cambria Math" w:hAnsi="Cambria Math"/>
                            </w:rPr>
                            <m:t>g</m:t>
                          </m:r>
                        </m:e>
                        <m:sub>
                          <m:r>
                            <w:rPr>
                              <w:rFonts w:ascii="Cambria Math" w:hAnsi="Cambria Math"/>
                            </w:rPr>
                            <m:t>j</m:t>
                          </m:r>
                        </m:sub>
                        <m:sup>
                          <m:sSub>
                            <m:sSubPr>
                              <m:ctrlPr>
                                <w:rPr>
                                  <w:rFonts w:ascii="Cambria Math" w:hAnsi="Cambria Math"/>
                                </w:rPr>
                              </m:ctrlPr>
                            </m:sSubPr>
                            <m:e>
                              <m:r>
                                <w:rPr>
                                  <w:rFonts w:ascii="Cambria Math" w:hAnsi="Cambria Math"/>
                                </w:rPr>
                                <m:t>z</m:t>
                              </m:r>
                            </m:e>
                            <m:sub>
                              <m:r>
                                <w:rPr>
                                  <w:rFonts w:ascii="Cambria Math" w:hAnsi="Cambria Math"/>
                                </w:rPr>
                                <m:t>c,j</m:t>
                              </m:r>
                            </m:sub>
                          </m:sSub>
                        </m:sup>
                      </m:sSubSup>
                    </m:e>
                  </m:nary>
                </m:e>
              </m:d>
              <m:sSup>
                <m:sSupPr>
                  <m:ctrlPr>
                    <w:rPr>
                      <w:rFonts w:ascii="Cambria Math" w:hAnsi="Cambria Math"/>
                    </w:rPr>
                  </m:ctrlPr>
                </m:sSupPr>
                <m:e>
                  <m:r>
                    <w:rPr>
                      <w:rFonts w:ascii="Cambria Math" w:hAnsi="Cambria Math"/>
                    </w:rPr>
                    <m:t>h</m:t>
                  </m:r>
                </m:e>
                <m:sup>
                  <m:sSub>
                    <m:sSubPr>
                      <m:ctrlPr>
                        <w:rPr>
                          <w:rFonts w:ascii="Cambria Math" w:hAnsi="Cambria Math"/>
                        </w:rPr>
                      </m:ctrlPr>
                    </m:sSubPr>
                    <m:e>
                      <m:r>
                        <w:rPr>
                          <w:rFonts w:ascii="Cambria Math" w:hAnsi="Cambria Math"/>
                        </w:rPr>
                        <m:t>r</m:t>
                      </m:r>
                    </m:e>
                    <m:sub>
                      <m:r>
                        <w:rPr>
                          <w:rFonts w:ascii="Cambria Math" w:hAnsi="Cambria Math"/>
                        </w:rPr>
                        <m:t>c</m:t>
                      </m:r>
                    </m:sub>
                  </m:sSub>
                </m:sup>
              </m:sSup>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 p</m:t>
                  </m:r>
                </m:e>
              </m:d>
            </m:e>
          </m:borderBox>
        </m:oMath>
      </m:oMathPara>
    </w:p>
    <w:p w14:paraId="2D5C03A5" w14:textId="77777777" w:rsidR="002508AB" w:rsidRPr="002508AB" w:rsidRDefault="002508AB" w:rsidP="002508AB">
      <w:r w:rsidRPr="002508AB">
        <w:rPr>
          <w:b/>
          <w:bCs/>
        </w:rPr>
        <w:t>Parameters:</w:t>
      </w:r>
    </w:p>
    <w:p w14:paraId="3E04AD7A" w14:textId="32B58544" w:rsidR="002508AB" w:rsidRPr="002508AB" w:rsidRDefault="002508AB" w:rsidP="002508AB">
      <w:pPr>
        <w:numPr>
          <w:ilvl w:val="0"/>
          <w:numId w:val="6"/>
        </w:numPr>
      </w:pPr>
      <m:oMath>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d</m:t>
                </m:r>
              </m:e>
              <m:sub>
                <m:r>
                  <w:rPr>
                    <w:rFonts w:ascii="Cambria Math" w:hAnsi="Cambria Math"/>
                  </w:rPr>
                  <m:t>z</m:t>
                </m:r>
              </m:sub>
            </m:sSub>
          </m:sub>
        </m:sSub>
        <m:r>
          <w:rPr>
            <w:rFonts w:ascii="Cambria Math" w:hAnsi="Cambria Math"/>
          </w:rPr>
          <m:t>,h</m:t>
        </m:r>
      </m:oMath>
      <w:r w:rsidRPr="002508AB">
        <w:t>: Appropriately generated public group elements</w:t>
      </w:r>
    </w:p>
    <w:p w14:paraId="548007AC" w14:textId="42EC0FDC" w:rsidR="002508AB" w:rsidRPr="002508AB" w:rsidRDefault="002508AB" w:rsidP="002508AB">
      <w:pPr>
        <w:numPr>
          <w:ilvl w:val="0"/>
          <w:numId w:val="6"/>
        </w:numPr>
      </w:pP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2508AB">
        <w:t>: A random blinding value</w:t>
      </w:r>
    </w:p>
    <w:p w14:paraId="4EB32FF8" w14:textId="4B599D59" w:rsidR="002508AB" w:rsidRPr="002508AB" w:rsidRDefault="002508AB" w:rsidP="002508AB">
      <w:pPr>
        <w:numPr>
          <w:ilvl w:val="0"/>
          <w:numId w:val="6"/>
        </w:numPr>
      </w:pPr>
      <m:oMath>
        <m:r>
          <w:rPr>
            <w:rFonts w:ascii="Cambria Math" w:hAnsi="Cambria Math"/>
          </w:rPr>
          <m:t>p</m:t>
        </m:r>
      </m:oMath>
      <w:r w:rsidRPr="002508AB">
        <w:t>: A suitable group modulus</w:t>
      </w:r>
    </w:p>
    <w:p w14:paraId="4B4418CE" w14:textId="77777777" w:rsidR="002508AB" w:rsidRPr="002508AB" w:rsidRDefault="002508AB" w:rsidP="002508AB">
      <w:r w:rsidRPr="002508AB">
        <w:rPr>
          <w:b/>
          <w:bCs/>
        </w:rPr>
        <w:t>Implementation Note:</w:t>
      </w:r>
      <w:r w:rsidRPr="002508AB">
        <w:t xml:space="preserve"> This is a conceptual construction. A secure deployment requires a well-defined group and commitment scheme, appropriate parameter generation, and a proof system for the specific statement. For matrices, you must commit to each row, commit to the flattened matrix, or use a suitable vector commitment.</w:t>
      </w:r>
    </w:p>
    <w:p w14:paraId="0E787D44" w14:textId="77777777" w:rsidR="002508AB" w:rsidRPr="002508AB" w:rsidRDefault="002508AB" w:rsidP="002508AB">
      <w:pPr>
        <w:numPr>
          <w:ilvl w:val="0"/>
          <w:numId w:val="7"/>
        </w:numPr>
      </w:pPr>
      <w:r w:rsidRPr="002508AB">
        <w:rPr>
          <w:b/>
          <w:bCs/>
        </w:rPr>
        <w:t>Advantages:</w:t>
      </w:r>
      <w:r w:rsidRPr="002508AB">
        <w:t xml:space="preserve"> Supports verifiable statements about latent representations. It provides binding commitments while hiding the committed values (under appropriate cryptographic assumptions) and can be extended to include proofs of specific data properties.</w:t>
      </w:r>
    </w:p>
    <w:p w14:paraId="3F6A58CB" w14:textId="77777777" w:rsidR="002508AB" w:rsidRDefault="002508AB" w:rsidP="002508AB">
      <w:pPr>
        <w:numPr>
          <w:ilvl w:val="0"/>
          <w:numId w:val="7"/>
        </w:numPr>
      </w:pPr>
      <w:r w:rsidRPr="002508AB">
        <w:rPr>
          <w:b/>
          <w:bCs/>
        </w:rPr>
        <w:lastRenderedPageBreak/>
        <w:t>Limitations:</w:t>
      </w:r>
      <w:r w:rsidRPr="002508AB">
        <w:t xml:space="preserve"> The architecture is significantly more complex than standard client authentication. A commitment alone still does not prove the representation was </w:t>
      </w:r>
      <w:r w:rsidRPr="002508AB">
        <w:rPr>
          <w:i/>
          <w:iCs/>
        </w:rPr>
        <w:t>computed</w:t>
      </w:r>
      <w:r w:rsidRPr="002508AB">
        <w:t xml:space="preserve"> correctly, and the required proofs scale poorly, becoming computationally expensive for large matrices.</w:t>
      </w:r>
    </w:p>
    <w:p w14:paraId="5032054A" w14:textId="77777777" w:rsidR="001C0B8F" w:rsidRDefault="001C0B8F" w:rsidP="001C0B8F"/>
    <w:p w14:paraId="21859B77" w14:textId="77777777" w:rsidR="001C0B8F" w:rsidRDefault="001C0B8F" w:rsidP="001C0B8F"/>
    <w:p w14:paraId="1BA79FAE" w14:textId="77777777" w:rsidR="001C0B8F" w:rsidRDefault="001C0B8F" w:rsidP="001C0B8F"/>
    <w:p w14:paraId="7B01941E" w14:textId="140A5857" w:rsidR="001C0B8F" w:rsidRPr="001C0B8F" w:rsidRDefault="001C0B8F" w:rsidP="001C0B8F">
      <w:pPr>
        <w:rPr>
          <w:b/>
          <w:bCs/>
        </w:rPr>
      </w:pPr>
      <w:r>
        <w:rPr>
          <w:b/>
          <w:bCs/>
        </w:rPr>
        <w:t xml:space="preserve">2. </w:t>
      </w:r>
      <w:r w:rsidRPr="001C0B8F">
        <w:rPr>
          <w:b/>
          <w:bCs/>
        </w:rPr>
        <w:t>How could an attacker infer information without the exact dataset?</w:t>
      </w:r>
    </w:p>
    <w:p w14:paraId="069C2ECD" w14:textId="77777777" w:rsidR="001C0B8F" w:rsidRPr="001C0B8F" w:rsidRDefault="001C0B8F" w:rsidP="001C0B8F">
      <w:r w:rsidRPr="001C0B8F">
        <w:t>Consider three possible attacks.</w:t>
      </w:r>
    </w:p>
    <w:p w14:paraId="30BC112A" w14:textId="77777777" w:rsidR="001C0B8F" w:rsidRPr="001C0B8F" w:rsidRDefault="001C0B8F" w:rsidP="001C0B8F">
      <w:r w:rsidRPr="001C0B8F">
        <w:t>A. Membership inference</w:t>
      </w:r>
    </w:p>
    <w:p w14:paraId="39EB55EB" w14:textId="77777777" w:rsidR="001C0B8F" w:rsidRPr="001C0B8F" w:rsidRDefault="001C0B8F" w:rsidP="001C0B8F">
      <w:r w:rsidRPr="001C0B8F">
        <w:t>An attacker wants to determine whether a particular patient contributed to the client's training data.</w:t>
      </w:r>
    </w:p>
    <w:p w14:paraId="144BF429" w14:textId="77777777" w:rsidR="001C0B8F" w:rsidRPr="001C0B8F" w:rsidRDefault="001C0B8F" w:rsidP="001C0B8F">
      <w:r w:rsidRPr="001C0B8F">
        <w:t>The attacker may have some information about that patient and access to the released representation or model. By comparing observable patterns, the attacker attempts to infer whether the patient was included.</w:t>
      </w:r>
    </w:p>
    <w:p w14:paraId="40E28FED" w14:textId="77777777" w:rsidR="001C0B8F" w:rsidRPr="001C0B8F" w:rsidRDefault="001C0B8F" w:rsidP="001C0B8F">
      <w:r w:rsidRPr="001C0B8F">
        <w:t>The attacker does not need the complete training dataset. However, whether this attack succeeds against your encoder is an empirical question, not a certainty.</w:t>
      </w:r>
    </w:p>
    <w:p w14:paraId="4EB8586E" w14:textId="77777777" w:rsidR="001C0B8F" w:rsidRPr="001C0B8F" w:rsidRDefault="001C0B8F" w:rsidP="001C0B8F">
      <w:r w:rsidRPr="001C0B8F">
        <w:t>B. Attribute inference</w:t>
      </w:r>
    </w:p>
    <w:p w14:paraId="11254BEE" w14:textId="77777777" w:rsidR="001C0B8F" w:rsidRPr="001C0B8F" w:rsidRDefault="001C0B8F" w:rsidP="001C0B8F">
      <w:r w:rsidRPr="001C0B8F">
        <w:t>Suppose the attacker knows some characteristics of a patient but not another sensitive attribute, such as a clinical measurement or diagnosis.</w:t>
      </w:r>
    </w:p>
    <w:p w14:paraId="5EDEA660" w14:textId="77777777" w:rsidR="001C0B8F" w:rsidRPr="001C0B8F" w:rsidRDefault="001C0B8F" w:rsidP="001C0B8F">
      <w:r w:rsidRPr="001C0B8F">
        <w:t>If the representation preserves information correlated with that attribute, the attacker might predict it using auxiliary data or a separately trained model.</w:t>
      </w:r>
    </w:p>
    <w:p w14:paraId="1EA1A491" w14:textId="77777777" w:rsidR="001C0B8F" w:rsidRPr="001C0B8F" w:rsidRDefault="001C0B8F" w:rsidP="001C0B8F">
      <w:r w:rsidRPr="001C0B8F">
        <w:t>The attacker is inferring a characteristic, not necessarily reconstructing the original record.</w:t>
      </w:r>
    </w:p>
    <w:p w14:paraId="3A331389" w14:textId="77777777" w:rsidR="001C0B8F" w:rsidRPr="001C0B8F" w:rsidRDefault="001C0B8F" w:rsidP="001C0B8F">
      <w:r w:rsidRPr="001C0B8F">
        <w:t>C. Inference from model structure or similarities</w:t>
      </w:r>
    </w:p>
    <w:p w14:paraId="548145D6" w14:textId="77777777" w:rsidR="001C0B8F" w:rsidRPr="001C0B8F" w:rsidRDefault="001C0B8F" w:rsidP="001C0B8F">
      <w:r w:rsidRPr="001C0B8F">
        <w:t>Your Random Forest kernel records relationships between samples based on shared leaves. The diffusion map then preserves aspects of this similarity structure.</w:t>
      </w:r>
    </w:p>
    <w:p w14:paraId="7E60FF20" w14:textId="77777777" w:rsidR="001C0B8F" w:rsidRPr="001C0B8F" w:rsidRDefault="001C0B8F" w:rsidP="001C0B8F">
      <w:r w:rsidRPr="001C0B8F">
        <w:t>If an attacker obtains the latent coordinates, knows the encoding procedure, and has auxiliary information, the attacker might infer clusters, similarities, or properties of the underlying data.</w:t>
      </w:r>
    </w:p>
    <w:p w14:paraId="6A286D67" w14:textId="77777777" w:rsidR="001C0B8F" w:rsidRPr="001C0B8F" w:rsidRDefault="001C0B8F" w:rsidP="001C0B8F">
      <w:r w:rsidRPr="001C0B8F">
        <w:lastRenderedPageBreak/>
        <w:t>Recovering the exact original records is a much stronger task and is not guaranteed to be possible.</w:t>
      </w:r>
    </w:p>
    <w:p w14:paraId="2BF9EF25" w14:textId="77777777" w:rsidR="001C0B8F" w:rsidRPr="001C0B8F" w:rsidRDefault="001C0B8F" w:rsidP="001C0B8F">
      <w:pPr>
        <w:rPr>
          <w:b/>
          <w:bCs/>
        </w:rPr>
      </w:pPr>
      <w:r w:rsidRPr="001C0B8F">
        <w:rPr>
          <w:b/>
          <w:bCs/>
        </w:rPr>
        <w:t>3. Your most important distinction: What exactly are you transmitting?</w:t>
      </w:r>
    </w:p>
    <w:p w14:paraId="2E583968" w14:textId="77777777" w:rsidR="001C0B8F" w:rsidRPr="001C0B8F" w:rsidRDefault="001C0B8F" w:rsidP="001C0B8F">
      <w:r w:rsidRPr="001C0B8F">
        <w:t>This is the key to determining your actual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8"/>
        <w:gridCol w:w="6012"/>
      </w:tblGrid>
      <w:tr w:rsidR="001C0B8F" w:rsidRPr="001C0B8F" w14:paraId="1EAF480D" w14:textId="77777777">
        <w:trPr>
          <w:tblCellSpacing w:w="15" w:type="dxa"/>
        </w:trPr>
        <w:tc>
          <w:tcPr>
            <w:tcW w:w="0" w:type="auto"/>
            <w:vAlign w:val="center"/>
            <w:hideMark/>
          </w:tcPr>
          <w:p w14:paraId="099F11E4" w14:textId="77777777" w:rsidR="001C0B8F" w:rsidRPr="001C0B8F" w:rsidRDefault="001C0B8F" w:rsidP="001C0B8F">
            <w:pPr>
              <w:rPr>
                <w:b/>
                <w:bCs/>
              </w:rPr>
            </w:pPr>
            <w:r w:rsidRPr="001C0B8F">
              <w:rPr>
                <w:b/>
                <w:bCs/>
              </w:rPr>
              <w:t>What leaves the client?</w:t>
            </w:r>
          </w:p>
        </w:tc>
        <w:tc>
          <w:tcPr>
            <w:tcW w:w="0" w:type="auto"/>
            <w:vAlign w:val="center"/>
            <w:hideMark/>
          </w:tcPr>
          <w:p w14:paraId="367E19C4" w14:textId="77777777" w:rsidR="001C0B8F" w:rsidRPr="001C0B8F" w:rsidRDefault="001C0B8F" w:rsidP="001C0B8F">
            <w:pPr>
              <w:rPr>
                <w:b/>
                <w:bCs/>
              </w:rPr>
            </w:pPr>
            <w:r w:rsidRPr="001C0B8F">
              <w:rPr>
                <w:b/>
                <w:bCs/>
              </w:rPr>
              <w:t>Relative exposure</w:t>
            </w:r>
          </w:p>
        </w:tc>
      </w:tr>
      <w:tr w:rsidR="001C0B8F" w:rsidRPr="001C0B8F" w14:paraId="33CA4998" w14:textId="77777777">
        <w:trPr>
          <w:tblCellSpacing w:w="15" w:type="dxa"/>
        </w:trPr>
        <w:tc>
          <w:tcPr>
            <w:tcW w:w="0" w:type="auto"/>
            <w:vAlign w:val="center"/>
            <w:hideMark/>
          </w:tcPr>
          <w:p w14:paraId="456BD804" w14:textId="4E606359" w:rsidR="001C0B8F" w:rsidRPr="001C0B8F" w:rsidRDefault="001C0B8F" w:rsidP="001C0B8F">
            <w:r w:rsidRPr="001C0B8F">
              <w:t>The entire latent matrix (</w:t>
            </w:r>
            <w:proofErr w:type="spellStart"/>
            <w:r w:rsidRPr="001C0B8F">
              <w:t>Z_c</w:t>
            </w:r>
            <w:proofErr w:type="spellEnd"/>
            <w:r w:rsidRPr="001C0B8F">
              <w:t>), with one row per patient</w:t>
            </w:r>
          </w:p>
        </w:tc>
        <w:tc>
          <w:tcPr>
            <w:tcW w:w="0" w:type="auto"/>
            <w:vAlign w:val="center"/>
            <w:hideMark/>
          </w:tcPr>
          <w:p w14:paraId="554ADB42" w14:textId="77777777" w:rsidR="001C0B8F" w:rsidRPr="001C0B8F" w:rsidRDefault="001C0B8F" w:rsidP="001C0B8F">
            <w:r w:rsidRPr="001C0B8F">
              <w:t>Potentially substantial: individual records have separate embeddings</w:t>
            </w:r>
          </w:p>
        </w:tc>
      </w:tr>
      <w:tr w:rsidR="001C0B8F" w:rsidRPr="001C0B8F" w14:paraId="73958B1C" w14:textId="77777777">
        <w:trPr>
          <w:tblCellSpacing w:w="15" w:type="dxa"/>
        </w:trPr>
        <w:tc>
          <w:tcPr>
            <w:tcW w:w="0" w:type="auto"/>
            <w:vAlign w:val="center"/>
            <w:hideMark/>
          </w:tcPr>
          <w:p w14:paraId="72762528" w14:textId="77777777" w:rsidR="001C0B8F" w:rsidRPr="001C0B8F" w:rsidRDefault="001C0B8F" w:rsidP="001C0B8F">
            <w:r w:rsidRPr="001C0B8F">
              <w:t>One aggregate vector representing the whole client</w:t>
            </w:r>
          </w:p>
        </w:tc>
        <w:tc>
          <w:tcPr>
            <w:tcW w:w="0" w:type="auto"/>
            <w:vAlign w:val="center"/>
            <w:hideMark/>
          </w:tcPr>
          <w:p w14:paraId="397C60AC" w14:textId="77777777" w:rsidR="001C0B8F" w:rsidRPr="001C0B8F" w:rsidRDefault="001C0B8F" w:rsidP="001C0B8F">
            <w:r w:rsidRPr="001C0B8F">
              <w:t>Generally less direct exposure of individual records, although aggregate leakage remains possible</w:t>
            </w:r>
          </w:p>
        </w:tc>
      </w:tr>
      <w:tr w:rsidR="001C0B8F" w:rsidRPr="001C0B8F" w14:paraId="67B57229" w14:textId="77777777">
        <w:trPr>
          <w:tblCellSpacing w:w="15" w:type="dxa"/>
        </w:trPr>
        <w:tc>
          <w:tcPr>
            <w:tcW w:w="0" w:type="auto"/>
            <w:vAlign w:val="center"/>
            <w:hideMark/>
          </w:tcPr>
          <w:p w14:paraId="4B06AF33" w14:textId="77777777" w:rsidR="001C0B8F" w:rsidRPr="001C0B8F" w:rsidRDefault="001C0B8F" w:rsidP="001C0B8F">
            <w:r w:rsidRPr="001C0B8F">
              <w:t>An encrypted or securely aggregated representation</w:t>
            </w:r>
          </w:p>
        </w:tc>
        <w:tc>
          <w:tcPr>
            <w:tcW w:w="0" w:type="auto"/>
            <w:vAlign w:val="center"/>
            <w:hideMark/>
          </w:tcPr>
          <w:p w14:paraId="5A7C2572" w14:textId="77777777" w:rsidR="001C0B8F" w:rsidRPr="001C0B8F" w:rsidRDefault="001C0B8F" w:rsidP="001C0B8F">
            <w:r w:rsidRPr="001C0B8F">
              <w:t>Individual values are better protected during transmission, subject to the mechanism's assumptions</w:t>
            </w:r>
          </w:p>
        </w:tc>
      </w:tr>
      <w:tr w:rsidR="001C0B8F" w:rsidRPr="001C0B8F" w14:paraId="05BCC556" w14:textId="77777777">
        <w:trPr>
          <w:tblCellSpacing w:w="15" w:type="dxa"/>
        </w:trPr>
        <w:tc>
          <w:tcPr>
            <w:tcW w:w="0" w:type="auto"/>
            <w:vAlign w:val="center"/>
            <w:hideMark/>
          </w:tcPr>
          <w:p w14:paraId="36E97061" w14:textId="77777777" w:rsidR="001C0B8F" w:rsidRPr="001C0B8F" w:rsidRDefault="001C0B8F" w:rsidP="001C0B8F">
            <w:r w:rsidRPr="001C0B8F">
              <w:t>A differentially private representation</w:t>
            </w:r>
          </w:p>
        </w:tc>
        <w:tc>
          <w:tcPr>
            <w:tcW w:w="0" w:type="auto"/>
            <w:vAlign w:val="center"/>
            <w:hideMark/>
          </w:tcPr>
          <w:p w14:paraId="3488F8C7" w14:textId="77777777" w:rsidR="001C0B8F" w:rsidRPr="001C0B8F" w:rsidRDefault="001C0B8F" w:rsidP="001C0B8F">
            <w:r w:rsidRPr="001C0B8F">
              <w:t>Provides a formal guarantee only if the mechanism, sensitivity, privacy unit, and accounting are correctly specified</w:t>
            </w:r>
          </w:p>
        </w:tc>
      </w:tr>
    </w:tbl>
    <w:p w14:paraId="5657404B" w14:textId="77777777" w:rsidR="001C0B8F" w:rsidRPr="002508AB" w:rsidRDefault="001C0B8F" w:rsidP="001C0B8F"/>
    <w:p w14:paraId="4B387456" w14:textId="77777777" w:rsidR="000B3F91" w:rsidRDefault="000B3F91"/>
    <w:sectPr w:rsidR="000B3F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1072"/>
    <w:multiLevelType w:val="multilevel"/>
    <w:tmpl w:val="1600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A4098"/>
    <w:multiLevelType w:val="multilevel"/>
    <w:tmpl w:val="6F62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B5703"/>
    <w:multiLevelType w:val="multilevel"/>
    <w:tmpl w:val="A426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96FA3"/>
    <w:multiLevelType w:val="multilevel"/>
    <w:tmpl w:val="1CD6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920C03"/>
    <w:multiLevelType w:val="multilevel"/>
    <w:tmpl w:val="EB2A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0610C"/>
    <w:multiLevelType w:val="multilevel"/>
    <w:tmpl w:val="B89C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44462B"/>
    <w:multiLevelType w:val="multilevel"/>
    <w:tmpl w:val="5082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911708">
    <w:abstractNumId w:val="5"/>
  </w:num>
  <w:num w:numId="2" w16cid:durableId="1892376040">
    <w:abstractNumId w:val="3"/>
  </w:num>
  <w:num w:numId="3" w16cid:durableId="1015381586">
    <w:abstractNumId w:val="6"/>
  </w:num>
  <w:num w:numId="4" w16cid:durableId="952857653">
    <w:abstractNumId w:val="4"/>
  </w:num>
  <w:num w:numId="5" w16cid:durableId="152138510">
    <w:abstractNumId w:val="1"/>
  </w:num>
  <w:num w:numId="6" w16cid:durableId="1813792405">
    <w:abstractNumId w:val="0"/>
  </w:num>
  <w:num w:numId="7" w16cid:durableId="1759475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8AB"/>
    <w:rsid w:val="000B3F91"/>
    <w:rsid w:val="001C0B8F"/>
    <w:rsid w:val="002508AB"/>
    <w:rsid w:val="0036318C"/>
    <w:rsid w:val="00960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206F7"/>
  <w15:chartTrackingRefBased/>
  <w15:docId w15:val="{25344B6E-25D1-41FA-9722-4DF71535D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8AB"/>
    <w:rPr>
      <w:rFonts w:eastAsiaTheme="majorEastAsia" w:cstheme="majorBidi"/>
      <w:color w:val="272727" w:themeColor="text1" w:themeTint="D8"/>
    </w:rPr>
  </w:style>
  <w:style w:type="paragraph" w:styleId="Title">
    <w:name w:val="Title"/>
    <w:basedOn w:val="Normal"/>
    <w:next w:val="Normal"/>
    <w:link w:val="TitleChar"/>
    <w:uiPriority w:val="10"/>
    <w:qFormat/>
    <w:rsid w:val="00250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8AB"/>
    <w:pPr>
      <w:spacing w:before="160"/>
      <w:jc w:val="center"/>
    </w:pPr>
    <w:rPr>
      <w:i/>
      <w:iCs/>
      <w:color w:val="404040" w:themeColor="text1" w:themeTint="BF"/>
    </w:rPr>
  </w:style>
  <w:style w:type="character" w:customStyle="1" w:styleId="QuoteChar">
    <w:name w:val="Quote Char"/>
    <w:basedOn w:val="DefaultParagraphFont"/>
    <w:link w:val="Quote"/>
    <w:uiPriority w:val="29"/>
    <w:rsid w:val="002508AB"/>
    <w:rPr>
      <w:i/>
      <w:iCs/>
      <w:color w:val="404040" w:themeColor="text1" w:themeTint="BF"/>
    </w:rPr>
  </w:style>
  <w:style w:type="paragraph" w:styleId="ListParagraph">
    <w:name w:val="List Paragraph"/>
    <w:basedOn w:val="Normal"/>
    <w:uiPriority w:val="34"/>
    <w:qFormat/>
    <w:rsid w:val="002508AB"/>
    <w:pPr>
      <w:ind w:left="720"/>
      <w:contextualSpacing/>
    </w:pPr>
  </w:style>
  <w:style w:type="character" w:styleId="IntenseEmphasis">
    <w:name w:val="Intense Emphasis"/>
    <w:basedOn w:val="DefaultParagraphFont"/>
    <w:uiPriority w:val="21"/>
    <w:qFormat/>
    <w:rsid w:val="002508AB"/>
    <w:rPr>
      <w:i/>
      <w:iCs/>
      <w:color w:val="0F4761" w:themeColor="accent1" w:themeShade="BF"/>
    </w:rPr>
  </w:style>
  <w:style w:type="paragraph" w:styleId="IntenseQuote">
    <w:name w:val="Intense Quote"/>
    <w:basedOn w:val="Normal"/>
    <w:next w:val="Normal"/>
    <w:link w:val="IntenseQuoteChar"/>
    <w:uiPriority w:val="30"/>
    <w:qFormat/>
    <w:rsid w:val="00250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8AB"/>
    <w:rPr>
      <w:i/>
      <w:iCs/>
      <w:color w:val="0F4761" w:themeColor="accent1" w:themeShade="BF"/>
    </w:rPr>
  </w:style>
  <w:style w:type="character" w:styleId="IntenseReference">
    <w:name w:val="Intense Reference"/>
    <w:basedOn w:val="DefaultParagraphFont"/>
    <w:uiPriority w:val="32"/>
    <w:qFormat/>
    <w:rsid w:val="002508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635</Words>
  <Characters>3622</Characters>
  <Application>Microsoft Office Word</Application>
  <DocSecurity>0</DocSecurity>
  <Lines>30</Lines>
  <Paragraphs>8</Paragraphs>
  <ScaleCrop>false</ScaleCrop>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SYAMANTAK DAS</dc:creator>
  <cp:keywords/>
  <dc:description/>
  <cp:lastModifiedBy>SURYA SYAMANTAK DAS</cp:lastModifiedBy>
  <cp:revision>2</cp:revision>
  <dcterms:created xsi:type="dcterms:W3CDTF">2026-10-10T14:32:00Z</dcterms:created>
  <dcterms:modified xsi:type="dcterms:W3CDTF">2026-10-10T15:22:00Z</dcterms:modified>
</cp:coreProperties>
</file>