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2956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Convergence Analysis for Design B</w:t>
      </w:r>
    </w:p>
    <w:p w14:paraId="04E49A5C" w14:textId="09C1D02C" w:rsidR="00D17231" w:rsidRPr="00D17231" w:rsidRDefault="00D17231" w:rsidP="00D17231">
      <w:p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Federated RF–Diffusion Map–Alignment–Global Model Pipeline</w:t>
      </w:r>
    </w:p>
    <w:p w14:paraId="51025C04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Purpose</w:t>
      </w:r>
    </w:p>
    <w:p w14:paraId="6AE73103" w14:textId="3E75013B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Integrates three core convergence metrics (latent representation, prediction, and loss) into Design B across federated training rounds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. </w:t>
      </w:r>
    </w:p>
    <w:p w14:paraId="425022FF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1. Iterative Design B Pipeline</w:t>
      </w:r>
    </w:p>
    <w:p w14:paraId="175B617D" w14:textId="77E57CF8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At round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, client 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D17231">
        <w:rPr>
          <w:sz w:val="22"/>
          <w:szCs w:val="22"/>
        </w:rPr>
        <w:t xml:space="preserve"> processes private data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, builds local latent features, protects and aligns them, and sends them to the server for global aggregation: </w:t>
      </w:r>
    </w:p>
    <w:p w14:paraId="27B7AB83" w14:textId="77777777" w:rsidR="00D17231" w:rsidRPr="00D17231" w:rsidRDefault="00D17231" w:rsidP="00D17231">
      <w:pPr>
        <w:rPr>
          <w:sz w:val="22"/>
          <w:szCs w:val="22"/>
        </w:rPr>
      </w:pPr>
    </w:p>
    <w:p w14:paraId="4C3B95C8" w14:textId="72AAB93E" w:rsidR="00D17231" w:rsidRPr="00D17231" w:rsidRDefault="00D17231" w:rsidP="00D17231">
      <w:pPr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nor/>
                </m:rPr>
                <w:rPr>
                  <w:sz w:val="22"/>
                  <w:szCs w:val="22"/>
                </w:rPr>
                <m:t>RF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Privacy</m:t>
          </m:r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Alignment</m:t>
          </m:r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Aggregation</m:t>
          </m:r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→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</m:oMath>
      </m:oMathPara>
    </w:p>
    <w:p w14:paraId="5AA85E05" w14:textId="54946834" w:rsidR="00D17231" w:rsidRPr="00D17231" w:rsidRDefault="00D17231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groupChr>
            <m:groupChrPr>
              <m:chr m:val="→"/>
              <m:vertJc m:val="bot"/>
              <m:ctrlPr>
                <w:rPr>
                  <w:rFonts w:ascii="Cambria Math" w:hAnsi="Cambria Math"/>
                  <w:sz w:val="22"/>
                  <w:szCs w:val="22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boxPr>
                <m:e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Broadcast</m:t>
                  </m:r>
                </m:e>
              </m:box>
            </m:e>
          </m:groupChr>
          <m:r>
            <m:rPr>
              <m:nor/>
            </m:rPr>
            <w:rPr>
              <w:sz w:val="22"/>
              <w:szCs w:val="22"/>
            </w:rPr>
            <m:t>Clients</m:t>
          </m:r>
          <m:r>
            <w:rPr>
              <w:rFonts w:ascii="Cambria Math" w:hAnsi="Cambria Math"/>
              <w:sz w:val="22"/>
              <w:szCs w:val="22"/>
            </w:rPr>
            <m:t>→</m:t>
          </m:r>
          <m:r>
            <m:rPr>
              <m:nor/>
            </m:rPr>
            <w:rPr>
              <w:sz w:val="22"/>
              <w:szCs w:val="22"/>
            </w:rPr>
            <m:t>Round </m:t>
          </m:r>
          <m:r>
            <w:rPr>
              <w:rFonts w:ascii="Cambria Math" w:hAnsi="Cambria Math"/>
              <w:sz w:val="22"/>
              <w:szCs w:val="22"/>
            </w:rPr>
            <m:t>r+1</m:t>
          </m:r>
        </m:oMath>
      </m:oMathPara>
    </w:p>
    <w:p w14:paraId="082BC32E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2. Convergence Metrics</w:t>
      </w:r>
    </w:p>
    <w:p w14:paraId="11EB7BA1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A. Global Representation Convergence (Primary Metric)</w:t>
      </w:r>
    </w:p>
    <w:p w14:paraId="11F280A5" w14:textId="3BC04876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Monitors structural stability of the aggregated global latent space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r>
          <w:rPr>
            <w:rFonts w:ascii="Cambria Math" w:hAnsi="Cambria Math"/>
            <w:sz w:val="22"/>
            <w:szCs w:val="22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: </w:t>
      </w:r>
    </w:p>
    <w:p w14:paraId="1F3DF36A" w14:textId="77777777" w:rsidR="00D17231" w:rsidRPr="00D17231" w:rsidRDefault="00D17231" w:rsidP="00D17231">
      <w:pPr>
        <w:rPr>
          <w:sz w:val="22"/>
          <w:szCs w:val="22"/>
        </w:rPr>
      </w:pPr>
    </w:p>
    <w:p w14:paraId="45920C23" w14:textId="5C6E8275" w:rsidR="00D17231" w:rsidRPr="00D17231" w:rsidRDefault="00D17231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‖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+ε</m:t>
              </m:r>
            </m:den>
          </m:f>
        </m:oMath>
      </m:oMathPara>
    </w:p>
    <w:p w14:paraId="098C7D94" w14:textId="2116EEFE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A small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 confirms that the shared latent manifold has stabilized. </w:t>
      </w:r>
    </w:p>
    <w:p w14:paraId="6DBA3D93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B. Prediction Convergence</w:t>
      </w:r>
    </w:p>
    <w:p w14:paraId="1CD9340E" w14:textId="519167B1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Measures decision stability on a fixed validation set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val</m:t>
            </m:r>
          </m:sub>
        </m:sSub>
      </m:oMath>
      <w:r w:rsidRPr="00D17231">
        <w:rPr>
          <w:sz w:val="22"/>
          <w:szCs w:val="22"/>
        </w:rPr>
        <w:t xml:space="preserve"> using predictions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r>
          <w:rPr>
            <w:rFonts w:ascii="Cambria Math" w:hAnsi="Cambria Math"/>
            <w:sz w:val="22"/>
            <w:szCs w:val="22"/>
          </w:rPr>
          <m:t>=</m:t>
        </m:r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sz w:val="22"/>
                    <w:szCs w:val="22"/>
                  </w:rPr>
                  <m:t>val</m:t>
                </m:r>
              </m:sup>
            </m:sSubSup>
          </m:e>
        </m:d>
      </m:oMath>
      <w:r w:rsidRPr="00D17231">
        <w:rPr>
          <w:sz w:val="22"/>
          <w:szCs w:val="22"/>
        </w:rPr>
        <w:t xml:space="preserve">: </w:t>
      </w:r>
    </w:p>
    <w:p w14:paraId="53AEB61B" w14:textId="77777777" w:rsidR="00D17231" w:rsidRPr="00D17231" w:rsidRDefault="00D17231" w:rsidP="00D17231">
      <w:pPr>
        <w:rPr>
          <w:sz w:val="22"/>
          <w:szCs w:val="22"/>
        </w:rPr>
      </w:pPr>
    </w:p>
    <w:p w14:paraId="6E2219D8" w14:textId="034E4961" w:rsidR="00D17231" w:rsidRPr="00D17231" w:rsidRDefault="00D17231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pred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i: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≠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|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val</m:t>
                  </m:r>
                </m:sub>
              </m:sSub>
            </m:den>
          </m:f>
        </m:oMath>
      </m:oMathPara>
    </w:p>
    <w:p w14:paraId="2D465D7E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C. Loss Convergence</w:t>
      </w:r>
    </w:p>
    <w:p w14:paraId="0D77CB29" w14:textId="6D61BCFE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Measures global error variation on validation set </w:t>
      </w:r>
      <m:oMath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sz w:val="22"/>
                    <w:szCs w:val="22"/>
                  </w:rPr>
                  <m:t>val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sz w:val="22"/>
                    <w:szCs w:val="22"/>
                  </w:rPr>
                  <m:t>val</m:t>
                </m:r>
              </m:sub>
            </m:sSub>
          </m:e>
        </m:d>
      </m:oMath>
      <w:r w:rsidRPr="00D17231">
        <w:rPr>
          <w:sz w:val="22"/>
          <w:szCs w:val="22"/>
        </w:rPr>
        <w:t xml:space="preserve">: </w:t>
      </w:r>
    </w:p>
    <w:p w14:paraId="343BFCD8" w14:textId="4A38A147" w:rsidR="00D17231" w:rsidRPr="00D17231" w:rsidRDefault="00D17231" w:rsidP="00D17231">
      <w:pPr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m:rPr>
              <m:scr m:val="script"/>
            </m:rPr>
            <w:rPr>
              <w:rFonts w:ascii="Cambria Math" w:hAnsi="Cambria Math"/>
              <w:sz w:val="22"/>
              <w:szCs w:val="22"/>
            </w:rPr>
            <m:t>=l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sz w:val="22"/>
                      <w:szCs w:val="22"/>
                    </w:rPr>
                    <m:t>val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2"/>
                          <w:szCs w:val="22"/>
                        </w:rPr>
                        <m:t>val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⟹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r-1</m:t>
                  </m:r>
                </m:e>
              </m:d>
            </m:sup>
          </m:sSup>
        </m:oMath>
      </m:oMathPara>
    </w:p>
    <w:p w14:paraId="7C5FAA14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3. Summary of Convergence Criteria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1746"/>
        <w:gridCol w:w="2708"/>
        <w:gridCol w:w="1824"/>
      </w:tblGrid>
      <w:tr w:rsidR="00D17231" w:rsidRPr="00D17231" w14:paraId="455A86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CC9A2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03C2B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Formulation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12241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Target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BC8FE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Validation Set</w:t>
            </w:r>
          </w:p>
        </w:tc>
      </w:tr>
      <w:tr w:rsidR="00D17231" w:rsidRPr="00D17231" w14:paraId="5496C3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67FF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Global Representation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655F" w14:textId="3B460E27" w:rsidR="00D17231" w:rsidRPr="00D17231" w:rsidRDefault="00D17231" w:rsidP="00D17231">
            <w:pPr>
              <w:rPr>
                <w:sz w:val="22"/>
                <w:szCs w:val="22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bSup>
            </m:oMath>
            <w:r w:rsidRPr="00D17231">
              <w:rPr>
                <w:sz w:val="22"/>
                <w:szCs w:val="22"/>
              </w:rPr>
              <w:t xml:space="preserve"> vs. </w:t>
            </w:r>
            <m:oMath>
              <m:sSubSup>
                <m:sSub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bSup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3CF25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Latent manifold stability </w:t>
            </w:r>
          </w:p>
          <w:p w14:paraId="440E8BEB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892A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No </w:t>
            </w:r>
          </w:p>
          <w:p w14:paraId="7E0D0571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</w:tr>
      <w:tr w:rsidR="00D17231" w:rsidRPr="00D17231" w14:paraId="3AE87A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C9AC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D8FF8" w14:textId="158EA1C3" w:rsidR="00D17231" w:rsidRPr="00D17231" w:rsidRDefault="00D17231" w:rsidP="00D17231">
            <w:pPr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p>
            </m:oMath>
            <w:r w:rsidRPr="00D17231">
              <w:rPr>
                <w:sz w:val="22"/>
                <w:szCs w:val="22"/>
              </w:rPr>
              <w:t xml:space="preserve"> vs.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acc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p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8F7AF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Model decision stability </w:t>
            </w:r>
          </w:p>
          <w:p w14:paraId="3E52BF34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E0470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Yes </w:t>
            </w:r>
          </w:p>
          <w:p w14:paraId="087CE84D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</w:tr>
      <w:tr w:rsidR="00D17231" w:rsidRPr="00D17231" w14:paraId="45C0F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0B156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b/>
                <w:bCs/>
                <w:sz w:val="22"/>
                <w:szCs w:val="22"/>
              </w:rPr>
              <w:t>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D722" w14:textId="19D937F8" w:rsidR="00D17231" w:rsidRPr="00D17231" w:rsidRDefault="00D17231" w:rsidP="00D17231">
            <w:pPr>
              <w:rPr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</m:d>
                </m:sup>
              </m:sSup>
            </m:oMath>
            <w:r w:rsidRPr="00D17231">
              <w:rPr>
                <w:sz w:val="22"/>
                <w:szCs w:val="22"/>
              </w:rPr>
              <w:t xml:space="preserve"> vs. </w:t>
            </w:r>
            <m:oMath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r-1</m:t>
                      </m:r>
                    </m:e>
                  </m:d>
                </m:sup>
              </m:sSup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F13F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Predictive error stability </w:t>
            </w:r>
          </w:p>
          <w:p w14:paraId="2DFFB2B6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7CC21" w14:textId="77777777" w:rsidR="00D17231" w:rsidRPr="00D17231" w:rsidRDefault="00D17231" w:rsidP="00D17231">
            <w:pPr>
              <w:rPr>
                <w:sz w:val="22"/>
                <w:szCs w:val="22"/>
              </w:rPr>
            </w:pPr>
            <w:r w:rsidRPr="00D17231">
              <w:rPr>
                <w:sz w:val="22"/>
                <w:szCs w:val="22"/>
              </w:rPr>
              <w:t xml:space="preserve">Yes </w:t>
            </w:r>
          </w:p>
          <w:p w14:paraId="1FDEE9ED" w14:textId="77777777" w:rsidR="00D17231" w:rsidRPr="00D17231" w:rsidRDefault="00D17231" w:rsidP="00D17231">
            <w:pPr>
              <w:rPr>
                <w:sz w:val="22"/>
                <w:szCs w:val="22"/>
              </w:rPr>
            </w:pPr>
          </w:p>
        </w:tc>
      </w:tr>
    </w:tbl>
    <w:p w14:paraId="17DFAB45" w14:textId="77777777" w:rsidR="00D17231" w:rsidRPr="00D17231" w:rsidRDefault="00D17231" w:rsidP="00D17231">
      <w:pPr>
        <w:rPr>
          <w:b/>
          <w:bCs/>
          <w:sz w:val="22"/>
          <w:szCs w:val="22"/>
        </w:rPr>
      </w:pPr>
      <w:r w:rsidRPr="00D17231">
        <w:rPr>
          <w:b/>
          <w:bCs/>
          <w:sz w:val="22"/>
          <w:szCs w:val="22"/>
        </w:rPr>
        <w:t>4. Federated Stopping Rule</w:t>
      </w:r>
    </w:p>
    <w:p w14:paraId="7ABA286A" w14:textId="779E2A2C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Training terminates at round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 when all conditions hold for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 w:rsidRPr="00D17231">
        <w:rPr>
          <w:sz w:val="22"/>
          <w:szCs w:val="22"/>
        </w:rPr>
        <w:t xml:space="preserve"> consecutive rounds: </w:t>
      </w:r>
    </w:p>
    <w:p w14:paraId="52AD6D1B" w14:textId="77777777" w:rsidR="00D17231" w:rsidRPr="00D17231" w:rsidRDefault="00D17231" w:rsidP="00D17231">
      <w:pPr>
        <w:rPr>
          <w:sz w:val="22"/>
          <w:szCs w:val="22"/>
        </w:rPr>
      </w:pPr>
    </w:p>
    <w:p w14:paraId="623F95B9" w14:textId="44AD35CD" w:rsidR="00D17231" w:rsidRPr="00D17231" w:rsidRDefault="00D17231" w:rsidP="00D17231">
      <w:pPr>
        <w:rPr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Z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i/>
              <w:sz w:val="22"/>
              <w:szCs w:val="22"/>
            </w:rPr>
            <m:t> </m:t>
          </m:r>
          <m:sSubSup>
            <m:sSubSupPr>
              <m:ctrlPr>
                <w:rPr>
                  <w:rFonts w:ascii="Cambria Math" w:hAnsi="Cambria Math"/>
                  <w:sz w:val="22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Δ</m:t>
              </m:r>
            </m:e>
            <m:sub>
              <m:r>
                <m:rPr>
                  <m:nor/>
                </m:rPr>
                <w:rPr>
                  <w:sz w:val="22"/>
                  <w:szCs w:val="22"/>
                </w:rPr>
                <m:t>pred</m:t>
              </m:r>
            </m:sub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bSup>
          <m:r>
            <w:rPr>
              <w:rFonts w:ascii="Cambria Math" w:hAnsi="Cambria Math"/>
              <w:sz w:val="22"/>
              <w:szCs w:val="22"/>
            </w:rPr>
            <m:t>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,</m:t>
          </m:r>
          <m:r>
            <w:rPr>
              <w:rFonts w:ascii="Cambria Math" w:hAnsi="Cambria Math"/>
              <w:i/>
              <w:sz w:val="22"/>
              <w:szCs w:val="22"/>
            </w:rPr>
            <m:t> </m:t>
          </m:r>
          <m:r>
            <w:rPr>
              <w:rFonts w:ascii="Cambria Math" w:hAnsi="Cambria Math"/>
              <w:sz w:val="22"/>
              <w:szCs w:val="22"/>
            </w:rPr>
            <m:t>|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Δ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r</m:t>
                  </m:r>
                </m:e>
              </m:d>
            </m:sup>
          </m:sSup>
          <m:r>
            <w:rPr>
              <w:rFonts w:ascii="Cambria Math" w:hAnsi="Cambria Math"/>
              <w:sz w:val="22"/>
              <w:szCs w:val="22"/>
            </w:rPr>
            <m:t>|&lt;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ε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L</m:t>
              </m:r>
            </m:sub>
          </m:sSub>
        </m:oMath>
      </m:oMathPara>
    </w:p>
    <w:p w14:paraId="3C5FD025" w14:textId="77777777" w:rsidR="00D17231" w:rsidRPr="00D17231" w:rsidRDefault="00D17231" w:rsidP="00D17231">
      <w:pPr>
        <w:rPr>
          <w:sz w:val="22"/>
          <w:szCs w:val="22"/>
        </w:rPr>
      </w:pPr>
    </w:p>
    <w:p w14:paraId="42C0F189" w14:textId="4891DC74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t xml:space="preserve">(Note: Thresholds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P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L</m:t>
            </m:r>
          </m:sub>
        </m:sSub>
      </m:oMath>
      <w:r w:rsidRPr="00D17231">
        <w:rPr>
          <w:sz w:val="22"/>
          <w:szCs w:val="22"/>
        </w:rPr>
        <w:t xml:space="preserve"> must be selected empirically.) </w:t>
      </w:r>
    </w:p>
    <w:p w14:paraId="13629BE0" w14:textId="798FED4B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br/>
      </w:r>
      <w:r w:rsidRPr="00D17231">
        <w:rPr>
          <w:b/>
          <w:bCs/>
          <w:sz w:val="22"/>
          <w:szCs w:val="22"/>
        </w:rPr>
        <w:t>5. Round-by-Round Execution Workflow</w:t>
      </w:r>
    </w:p>
    <w:p w14:paraId="49029BF1" w14:textId="3F613E0A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Local Representation Construction:</w:t>
      </w:r>
    </w:p>
    <w:p w14:paraId="042555E7" w14:textId="7579B389" w:rsidR="00D17231" w:rsidRP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Each client </w:t>
      </w:r>
      <m:oMath>
        <m:r>
          <w:rPr>
            <w:rFonts w:ascii="Cambria Math" w:hAnsi="Cambria Math"/>
            <w:sz w:val="22"/>
            <w:szCs w:val="22"/>
          </w:rPr>
          <m:t>c</m:t>
        </m:r>
      </m:oMath>
      <w:r w:rsidRPr="00D17231">
        <w:rPr>
          <w:sz w:val="22"/>
          <w:szCs w:val="22"/>
        </w:rPr>
        <w:t xml:space="preserve"> uses private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 to compute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sz w:val="22"/>
                <w:szCs w:val="22"/>
              </w:rPr>
              <m:t>RF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, kernel matrix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, and local coordinates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>.</w:t>
      </w:r>
    </w:p>
    <w:p w14:paraId="3F9C44C2" w14:textId="0FD24F89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2.Privacy &amp; Alignment Transformations:</w:t>
      </w:r>
    </w:p>
    <w:p w14:paraId="69069586" w14:textId="176764CF" w:rsidR="00D17231" w:rsidRP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Local representations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</m:sSub>
      </m:oMath>
      <w:r w:rsidRPr="00D17231">
        <w:rPr>
          <w:sz w:val="22"/>
          <w:szCs w:val="22"/>
        </w:rPr>
        <w:t xml:space="preserve"> are differentially protected and aligned via reference prototype mapping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>.</w:t>
      </w:r>
    </w:p>
    <w:p w14:paraId="5A37A937" w14:textId="10F54B46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Aggregation &amp; Model Update:</w:t>
      </w:r>
    </w:p>
    <w:p w14:paraId="246387FC" w14:textId="65BC5D61" w:rsidR="00D17231" w:rsidRP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Server aggregates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trains global model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>, and broadcasts parameters back to clients.</w:t>
      </w:r>
    </w:p>
    <w:p w14:paraId="44C23977" w14:textId="44A9C6D0" w:rsidR="00D17231" w:rsidRPr="00D17231" w:rsidRDefault="00D17231" w:rsidP="00D1723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Evaluation &amp; Stopping Assessment:</w:t>
      </w:r>
    </w:p>
    <w:p w14:paraId="6A2369E9" w14:textId="6656D2B8" w:rsidR="00D17231" w:rsidRDefault="00D17231" w:rsidP="00D17231">
      <w:pPr>
        <w:pStyle w:val="ListParagraph"/>
        <w:rPr>
          <w:sz w:val="22"/>
          <w:szCs w:val="22"/>
        </w:rPr>
      </w:pPr>
      <w:r w:rsidRPr="00D17231">
        <w:rPr>
          <w:sz w:val="22"/>
          <w:szCs w:val="22"/>
        </w:rPr>
        <w:t xml:space="preserve">Calculate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pred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and </w:t>
      </w:r>
      <m:oMath>
        <m:r>
          <w:rPr>
            <w:rFonts w:ascii="Cambria Math" w:hAnsi="Cambria Math"/>
            <w:sz w:val="22"/>
            <w:szCs w:val="22"/>
          </w:rPr>
          <m:t>|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p>
        <m:r>
          <w:rPr>
            <w:rFonts w:ascii="Cambria Math" w:hAnsi="Cambria Math"/>
            <w:sz w:val="22"/>
            <w:szCs w:val="22"/>
          </w:rPr>
          <m:t>|</m:t>
        </m:r>
      </m:oMath>
      <w:r w:rsidRPr="00D17231">
        <w:rPr>
          <w:sz w:val="22"/>
          <w:szCs w:val="22"/>
        </w:rPr>
        <w:t xml:space="preserve">. If converged, terminate; otherwise proceed to round </w:t>
      </w:r>
      <m:oMath>
        <m:r>
          <w:rPr>
            <w:rFonts w:ascii="Cambria Math" w:hAnsi="Cambria Math"/>
            <w:sz w:val="22"/>
            <w:szCs w:val="22"/>
          </w:rPr>
          <m:t>r+1</m:t>
        </m:r>
      </m:oMath>
      <w:r w:rsidRPr="00D17231">
        <w:rPr>
          <w:sz w:val="22"/>
          <w:szCs w:val="22"/>
        </w:rPr>
        <w:t>.</w:t>
      </w:r>
    </w:p>
    <w:p w14:paraId="295CCE6C" w14:textId="77777777" w:rsidR="00D17231" w:rsidRDefault="00D17231" w:rsidP="00D17231">
      <w:pPr>
        <w:pStyle w:val="ListParagraph"/>
        <w:rPr>
          <w:sz w:val="22"/>
          <w:szCs w:val="22"/>
        </w:rPr>
      </w:pPr>
    </w:p>
    <w:p w14:paraId="741F2AFC" w14:textId="5021B3E5" w:rsidR="00D17231" w:rsidRPr="00D17231" w:rsidRDefault="00D17231" w:rsidP="00D17231">
      <w:pPr>
        <w:pStyle w:val="ListParagraph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A0BD70" wp14:editId="468AA67C">
            <wp:extent cx="3345180" cy="2705100"/>
            <wp:effectExtent l="0" t="0" r="7620" b="0"/>
            <wp:docPr id="539273599" name="Picture 1" descr="Typical convergence trends showing validation behavior across round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ical convergence trends showing validation behavior across rounds, AI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AC7A" w14:textId="49861ABF" w:rsidR="00D17231" w:rsidRPr="00D17231" w:rsidRDefault="00D17231" w:rsidP="00D17231">
      <w:pPr>
        <w:rPr>
          <w:sz w:val="22"/>
          <w:szCs w:val="22"/>
        </w:rPr>
      </w:pPr>
      <w:r w:rsidRPr="00D17231">
        <w:rPr>
          <w:sz w:val="22"/>
          <w:szCs w:val="22"/>
        </w:rPr>
        <w:br/>
      </w:r>
      <w:r w:rsidRPr="00D17231">
        <w:rPr>
          <w:b/>
          <w:bCs/>
          <w:sz w:val="22"/>
          <w:szCs w:val="22"/>
        </w:rPr>
        <w:t>6. Interpretation &amp; Visualization</w:t>
      </w:r>
    </w:p>
    <w:p w14:paraId="6322AFD7" w14:textId="6E58C61F" w:rsidR="00D17231" w:rsidRPr="00D17231" w:rsidRDefault="00D17231" w:rsidP="00D17231">
      <w:pPr>
        <w:numPr>
          <w:ilvl w:val="0"/>
          <w:numId w:val="1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Primary Focus:</w:t>
      </w:r>
      <w:r w:rsidRPr="00D17231">
        <w:rPr>
          <w:sz w:val="22"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 serves as the primary indicator because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G</m:t>
            </m:r>
          </m:sub>
        </m:sSub>
      </m:oMath>
      <w:r w:rsidRPr="00D17231">
        <w:rPr>
          <w:sz w:val="22"/>
          <w:szCs w:val="22"/>
        </w:rPr>
        <w:t xml:space="preserve"> is the core output of the alignment-aggregation pipeline. </w:t>
      </w:r>
    </w:p>
    <w:p w14:paraId="44C0BE0C" w14:textId="77777777" w:rsidR="00D17231" w:rsidRPr="00D17231" w:rsidRDefault="00D17231" w:rsidP="00D17231">
      <w:pPr>
        <w:rPr>
          <w:sz w:val="22"/>
          <w:szCs w:val="22"/>
        </w:rPr>
      </w:pPr>
    </w:p>
    <w:p w14:paraId="31479E43" w14:textId="205A3429" w:rsidR="00D17231" w:rsidRPr="00D17231" w:rsidRDefault="00D17231" w:rsidP="00D17231">
      <w:pPr>
        <w:numPr>
          <w:ilvl w:val="0"/>
          <w:numId w:val="1"/>
        </w:numPr>
        <w:rPr>
          <w:sz w:val="22"/>
          <w:szCs w:val="22"/>
        </w:rPr>
      </w:pPr>
      <w:r w:rsidRPr="00D17231">
        <w:rPr>
          <w:b/>
          <w:bCs/>
          <w:sz w:val="22"/>
          <w:szCs w:val="22"/>
        </w:rPr>
        <w:t>Visualization:</w:t>
      </w:r>
      <w:r w:rsidRPr="00D17231">
        <w:rPr>
          <w:sz w:val="22"/>
          <w:szCs w:val="22"/>
        </w:rPr>
        <w:t xml:space="preserve"> Plot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Z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2"/>
                <w:szCs w:val="22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Δ</m:t>
            </m:r>
          </m:e>
          <m:sub>
            <m:r>
              <m:rPr>
                <m:nor/>
              </m:rPr>
              <w:rPr>
                <w:sz w:val="22"/>
                <w:szCs w:val="22"/>
              </w:rPr>
              <m:t>pred</m:t>
            </m:r>
          </m:sub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bSup>
      </m:oMath>
      <w:r w:rsidRPr="00D17231">
        <w:rPr>
          <w:sz w:val="22"/>
          <w:szCs w:val="22"/>
        </w:rPr>
        <w:t xml:space="preserve">, and </w:t>
      </w:r>
      <m:oMath>
        <m:r>
          <w:rPr>
            <w:rFonts w:ascii="Cambria Math" w:hAnsi="Cambria Math"/>
            <w:sz w:val="22"/>
            <w:szCs w:val="22"/>
          </w:rPr>
          <m:t>|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Δ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p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e>
            </m:d>
          </m:sup>
        </m:sSup>
        <m:r>
          <w:rPr>
            <w:rFonts w:ascii="Cambria Math" w:hAnsi="Cambria Math"/>
            <w:sz w:val="22"/>
            <w:szCs w:val="22"/>
          </w:rPr>
          <m:t>|</m:t>
        </m:r>
      </m:oMath>
      <w:r w:rsidRPr="00D17231">
        <w:rPr>
          <w:sz w:val="22"/>
          <w:szCs w:val="22"/>
        </w:rPr>
        <w:t xml:space="preserve"> vs. round </w:t>
      </w:r>
      <m:oMath>
        <m:r>
          <w:rPr>
            <w:rFonts w:ascii="Cambria Math" w:hAnsi="Cambria Math"/>
            <w:sz w:val="22"/>
            <w:szCs w:val="22"/>
          </w:rPr>
          <m:t>r</m:t>
        </m:r>
      </m:oMath>
      <w:r w:rsidRPr="00D17231">
        <w:rPr>
          <w:sz w:val="22"/>
          <w:szCs w:val="22"/>
        </w:rPr>
        <w:t xml:space="preserve"> on a logarithmic vertical axis to observe plateauing behavior. </w:t>
      </w:r>
    </w:p>
    <w:p w14:paraId="3A53C9BC" w14:textId="77777777" w:rsidR="000B3F91" w:rsidRPr="00D17231" w:rsidRDefault="000B3F91">
      <w:pPr>
        <w:rPr>
          <w:sz w:val="22"/>
          <w:szCs w:val="22"/>
        </w:rPr>
      </w:pPr>
    </w:p>
    <w:sectPr w:rsidR="000B3F91" w:rsidRPr="00D1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60FD8"/>
    <w:multiLevelType w:val="multilevel"/>
    <w:tmpl w:val="144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B5EBB"/>
    <w:multiLevelType w:val="hybridMultilevel"/>
    <w:tmpl w:val="ECE0E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759750">
    <w:abstractNumId w:val="0"/>
  </w:num>
  <w:num w:numId="2" w16cid:durableId="18910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31"/>
    <w:rsid w:val="000B3F91"/>
    <w:rsid w:val="009604C3"/>
    <w:rsid w:val="00D17231"/>
    <w:rsid w:val="00F2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8A50"/>
  <w15:chartTrackingRefBased/>
  <w15:docId w15:val="{9318C829-9E61-4D60-854E-B24175752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SYAMANTAK DAS</dc:creator>
  <cp:keywords/>
  <dc:description/>
  <cp:lastModifiedBy>SURYA SYAMANTAK DAS</cp:lastModifiedBy>
  <cp:revision>1</cp:revision>
  <dcterms:created xsi:type="dcterms:W3CDTF">2026-09-23T17:18:00Z</dcterms:created>
  <dcterms:modified xsi:type="dcterms:W3CDTF">2026-09-23T17:25:00Z</dcterms:modified>
</cp:coreProperties>
</file>