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/>
          <w:b/>
          <w:sz w:val="32"/>
        </w:rPr>
        <w:t>TABLES FOR IEEE PAPER — APPROVAL DRAFT</w:t>
      </w:r>
    </w:p>
    <w:p/>
    <w:p>
      <w:pPr>
        <w:jc w:val="center"/>
      </w:pPr>
      <w:r>
        <w:rPr>
          <w:rFonts w:ascii="Times New Roman" w:hAnsi="Times New Roman"/>
          <w:i/>
          <w:sz w:val="26"/>
        </w:rPr>
        <w:t>A Controlled Evaluation of Temporal, Attention-Based, and Multi-Scale</w:t>
        <w:br/>
        <w:t>Representations for Multi-Label 12-Lead ECG Classification on PTB-XL</w:t>
      </w:r>
    </w:p>
    <w:p/>
    <w:p/>
    <w:p>
      <w:pPr>
        <w:jc w:val="center"/>
      </w:pPr>
      <w:r>
        <w:rPr>
          <w:rFonts w:ascii="Times New Roman" w:hAnsi="Times New Roman"/>
          <w:sz w:val="22"/>
        </w:rPr>
        <w:t>Tables I through V</w:t>
        <w:br/>
        <w:t>For Professor Review and Approval</w:t>
      </w:r>
    </w:p>
    <w:p/>
    <w:p>
      <w:pPr>
        <w:jc w:val="center"/>
      </w:pPr>
      <w:r>
        <w:rPr>
          <w:rFonts w:ascii="Times New Roman" w:hAnsi="Times New Roman"/>
          <w:sz w:val="18"/>
        </w:rPr>
        <w:t>Dataset: PTB-XL v1.0.3  |  Test Protocol: Official Fold-10 (N = 2,158)  |  Freeze Date: 2026-09-04</w:t>
      </w:r>
    </w:p>
    <w:p>
      <w:r>
        <w:br w:type="page"/>
      </w:r>
    </w:p>
    <w:p>
      <w:pPr>
        <w:spacing w:before="120" w:after="60"/>
        <w:jc w:val="center"/>
      </w:pPr>
      <w:r>
        <w:rPr>
          <w:rFonts w:ascii="Times New Roman" w:hAnsi="Times New Roman"/>
          <w:b/>
          <w:sz w:val="20"/>
        </w:rPr>
        <w:t>TABLE I. Dataset and Patient-Isolated Fold-10 Evaluation Split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vAlign w:val="center"/>
            <w:shd w:val="clear" w:color="auto" w:fill="D9E2F3"/>
            <w:tcBorders>
              <w:bottom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Partition</w:t>
            </w:r>
          </w:p>
        </w:tc>
        <w:tc>
          <w:tcPr>
            <w:tcW w:type="dxa" w:w="1296"/>
            <w:vAlign w:val="center"/>
            <w:shd w:val="clear" w:color="auto" w:fill="D9E2F3"/>
            <w:tcBorders>
              <w:bottom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Folds</w:t>
            </w:r>
          </w:p>
        </w:tc>
        <w:tc>
          <w:tcPr>
            <w:tcW w:type="dxa" w:w="2160"/>
            <w:vAlign w:val="center"/>
            <w:shd w:val="clear" w:color="auto" w:fill="D9E2F3"/>
            <w:tcBorders>
              <w:bottom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ECG Records</w:t>
            </w:r>
          </w:p>
        </w:tc>
        <w:tc>
          <w:tcPr>
            <w:tcW w:type="dxa" w:w="2160"/>
            <w:vAlign w:val="center"/>
            <w:shd w:val="clear" w:color="auto" w:fill="D9E2F3"/>
            <w:tcBorders>
              <w:bottom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Patients</w:t>
            </w:r>
          </w:p>
        </w:tc>
      </w:tr>
      <w:tr>
        <w:tc>
          <w:tcPr>
            <w:tcW w:type="dxa" w:w="234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/>
                <w:b/>
                <w:i w:val="0"/>
                <w:sz w:val="19"/>
              </w:rPr>
              <w:t>Training</w:t>
            </w:r>
          </w:p>
        </w:tc>
        <w:tc>
          <w:tcPr>
            <w:tcW w:type="dxa" w:w="234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1–8</w:t>
            </w:r>
          </w:p>
        </w:tc>
        <w:tc>
          <w:tcPr>
            <w:tcW w:type="dxa" w:w="234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17,084</w:t>
            </w:r>
          </w:p>
        </w:tc>
        <w:tc>
          <w:tcPr>
            <w:tcW w:type="dxa" w:w="234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14,823</w:t>
            </w:r>
          </w:p>
        </w:tc>
      </w:tr>
      <w:tr>
        <w:tc>
          <w:tcPr>
            <w:tcW w:type="dxa" w:w="234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/>
                <w:b/>
                <w:i w:val="0"/>
                <w:sz w:val="19"/>
              </w:rPr>
              <w:t>Validation</w:t>
            </w:r>
          </w:p>
        </w:tc>
        <w:tc>
          <w:tcPr>
            <w:tcW w:type="dxa" w:w="234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9</w:t>
            </w:r>
          </w:p>
        </w:tc>
        <w:tc>
          <w:tcPr>
            <w:tcW w:type="dxa" w:w="234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2,146</w:t>
            </w:r>
          </w:p>
        </w:tc>
        <w:tc>
          <w:tcPr>
            <w:tcW w:type="dxa" w:w="234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1,917</w:t>
            </w:r>
          </w:p>
        </w:tc>
      </w:tr>
      <w:tr>
        <w:tc>
          <w:tcPr>
            <w:tcW w:type="dxa" w:w="234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/>
                <w:b/>
                <w:i w:val="0"/>
                <w:sz w:val="19"/>
              </w:rPr>
              <w:t>Test (Frozen Fold 10)</w:t>
            </w:r>
          </w:p>
        </w:tc>
        <w:tc>
          <w:tcPr>
            <w:tcW w:type="dxa" w:w="234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10</w:t>
            </w:r>
          </w:p>
        </w:tc>
        <w:tc>
          <w:tcPr>
            <w:tcW w:type="dxa" w:w="234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2,158</w:t>
            </w:r>
          </w:p>
        </w:tc>
        <w:tc>
          <w:tcPr>
            <w:tcW w:type="dxa" w:w="234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1,877</w:t>
            </w:r>
          </w:p>
        </w:tc>
      </w:tr>
      <w:tr>
        <w:tc>
          <w:tcPr>
            <w:tcW w:type="dxa" w:w="234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/>
                <w:b/>
                <w:i w:val="0"/>
                <w:sz w:val="19"/>
              </w:rPr>
              <w:t>Total Retained Diagnostic</w:t>
            </w:r>
          </w:p>
        </w:tc>
        <w:tc>
          <w:tcPr>
            <w:tcW w:type="dxa" w:w="234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1–10</w:t>
            </w:r>
          </w:p>
        </w:tc>
        <w:tc>
          <w:tcPr>
            <w:tcW w:type="dxa" w:w="234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21,388</w:t>
            </w:r>
          </w:p>
        </w:tc>
        <w:tc>
          <w:tcPr>
            <w:tcW w:type="dxa" w:w="234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18,477</w:t>
            </w:r>
          </w:p>
        </w:tc>
      </w:tr>
      <w:tr>
        <w:tc>
          <w:tcPr>
            <w:tcW w:type="dxa" w:w="234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/>
                <w:b/>
                <w:i w:val="0"/>
                <w:sz w:val="19"/>
              </w:rPr>
              <w:t>Original PTB-XL v1.0.3</w:t>
            </w:r>
          </w:p>
        </w:tc>
        <w:tc>
          <w:tcPr>
            <w:tcW w:type="dxa" w:w="234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1–10</w:t>
            </w:r>
          </w:p>
        </w:tc>
        <w:tc>
          <w:tcPr>
            <w:tcW w:type="dxa" w:w="234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21,799</w:t>
            </w:r>
          </w:p>
        </w:tc>
        <w:tc>
          <w:tcPr>
            <w:tcW w:type="dxa" w:w="234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18,885</w:t>
            </w:r>
          </w:p>
        </w:tc>
      </w:tr>
    </w:tbl>
    <w:p>
      <w:pPr>
        <w:spacing w:before="40" w:after="160"/>
        <w:jc w:val="left"/>
      </w:pPr>
      <w:r>
        <w:rPr>
          <w:rFonts w:ascii="Times New Roman" w:hAnsi="Times New Roman"/>
          <w:i/>
          <w:sz w:val="17"/>
        </w:rPr>
        <w:t xml:space="preserve">Note. </w:t>
      </w:r>
      <w:r>
        <w:rPr>
          <w:rFonts w:ascii="Times New Roman" w:hAnsi="Times New Roman"/>
          <w:sz w:val="17"/>
        </w:rPr>
        <w:t>Input: 12-lead 100-Hz ECG, shape 12 x 1,000 samples. Preprocessing: 2nd-order Butterworth bandpass (0.5-40 Hz), per-lead Z-score normalization. No patient overlap observed between training, validation, and test partitions. Of 21,799 total PTB-XL records, 411 lacked any diagnostic superclass mapping and were excluded; 21,388 records were retained for the diagnostic multi-label task. Sources: publication_tables/table_1_splits.csv; four_model_prediction_alignment.json.</w:t>
      </w:r>
    </w:p>
    <w:p>
      <w:r>
        <w:br w:type="page"/>
      </w:r>
    </w:p>
    <w:p>
      <w:pPr>
        <w:spacing w:before="120" w:after="60"/>
        <w:jc w:val="center"/>
      </w:pPr>
      <w:r>
        <w:rPr>
          <w:rFonts w:ascii="Times New Roman" w:hAnsi="Times New Roman"/>
          <w:b/>
          <w:sz w:val="20"/>
        </w:rPr>
        <w:t>TABLE II. Architecture and Computational Characteristics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448"/>
            <w:vAlign w:val="center"/>
            <w:shd w:val="clear" w:color="auto" w:fill="D9E2F3"/>
            <w:tcBorders>
              <w:bottom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Model</w:t>
            </w:r>
          </w:p>
        </w:tc>
        <w:tc>
          <w:tcPr>
            <w:tcW w:type="dxa" w:w="4032"/>
            <w:vAlign w:val="center"/>
            <w:shd w:val="clear" w:color="auto" w:fill="D9E2F3"/>
            <w:tcBorders>
              <w:bottom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Architecture / Temporal Aggregation</w:t>
            </w:r>
          </w:p>
        </w:tc>
        <w:tc>
          <w:tcPr>
            <w:tcW w:type="dxa" w:w="1728"/>
            <w:vAlign w:val="center"/>
            <w:shd w:val="clear" w:color="auto" w:fill="D9E2F3"/>
            <w:tcBorders>
              <w:bottom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Parameters</w:t>
            </w:r>
          </w:p>
        </w:tc>
        <w:tc>
          <w:tcPr>
            <w:tcW w:type="dxa" w:w="2016"/>
            <w:vAlign w:val="center"/>
            <w:shd w:val="clear" w:color="auto" w:fill="D9E2F3"/>
            <w:tcBorders>
              <w:bottom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Inference Latency (ms/ECG)</w:t>
            </w:r>
          </w:p>
        </w:tc>
      </w:tr>
      <w:tr>
        <w:tc>
          <w:tcPr>
            <w:tcW w:type="dxa" w:w="234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/>
                <w:b/>
                <w:i w:val="0"/>
                <w:sz w:val="19"/>
              </w:rPr>
              <w:t>ECGResNet-GAP</w:t>
            </w:r>
          </w:p>
        </w:tc>
        <w:tc>
          <w:tcPr>
            <w:tcW w:type="dxa" w:w="234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1D Residual CNN + Global Average Pooling</w:t>
            </w:r>
          </w:p>
        </w:tc>
        <w:tc>
          <w:tcPr>
            <w:tcW w:type="dxa" w:w="234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3,919,493</w:t>
            </w:r>
          </w:p>
        </w:tc>
        <w:tc>
          <w:tcPr>
            <w:tcW w:type="dxa" w:w="234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24.1</w:t>
            </w:r>
          </w:p>
        </w:tc>
      </w:tr>
      <w:tr>
        <w:tc>
          <w:tcPr>
            <w:tcW w:type="dxa" w:w="234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/>
                <w:b/>
                <w:i w:val="0"/>
                <w:sz w:val="19"/>
              </w:rPr>
              <w:t>ECGResNet-Attention</w:t>
            </w:r>
          </w:p>
        </w:tc>
        <w:tc>
          <w:tcPr>
            <w:tcW w:type="dxa" w:w="234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1D Residual CNN + Lightweight Temporal Attention Pooling (+513 params)</w:t>
            </w:r>
          </w:p>
        </w:tc>
        <w:tc>
          <w:tcPr>
            <w:tcW w:type="dxa" w:w="234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3,920,006</w:t>
            </w:r>
          </w:p>
        </w:tc>
        <w:tc>
          <w:tcPr>
            <w:tcW w:type="dxa" w:w="234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16.0</w:t>
            </w:r>
          </w:p>
        </w:tc>
      </w:tr>
      <w:tr>
        <w:tc>
          <w:tcPr>
            <w:tcW w:type="dxa" w:w="234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/>
                <w:b/>
                <w:i w:val="0"/>
                <w:sz w:val="19"/>
              </w:rPr>
              <w:t>XResNet1D</w:t>
            </w:r>
          </w:p>
        </w:tc>
        <w:tc>
          <w:tcPr>
            <w:tcW w:type="dxa" w:w="234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CV Stride-Tweaked 1D Residual CNN + Anti-Aliased Pooling</w:t>
            </w:r>
          </w:p>
        </w:tc>
        <w:tc>
          <w:tcPr>
            <w:tcW w:type="dxa" w:w="234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3,931,525</w:t>
            </w:r>
          </w:p>
        </w:tc>
        <w:tc>
          <w:tcPr>
            <w:tcW w:type="dxa" w:w="234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24.2</w:t>
            </w:r>
          </w:p>
        </w:tc>
      </w:tr>
      <w:tr>
        <w:tc>
          <w:tcPr>
            <w:tcW w:type="dxa" w:w="234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/>
                <w:b/>
                <w:i w:val="0"/>
                <w:sz w:val="19"/>
              </w:rPr>
              <w:t>InceptionTime1D</w:t>
            </w:r>
          </w:p>
        </w:tc>
        <w:tc>
          <w:tcPr>
            <w:tcW w:type="dxa" w:w="234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Multi-Scale Inception 1D CNN (k=9,19,39) + Global Average Pooling</w:t>
            </w:r>
          </w:p>
        </w:tc>
        <w:tc>
          <w:tcPr>
            <w:tcW w:type="dxa" w:w="234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3,886,149</w:t>
            </w:r>
          </w:p>
        </w:tc>
        <w:tc>
          <w:tcPr>
            <w:tcW w:type="dxa" w:w="234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24.1</w:t>
            </w:r>
          </w:p>
        </w:tc>
      </w:tr>
    </w:tbl>
    <w:p>
      <w:pPr>
        <w:spacing w:before="40" w:after="160"/>
        <w:jc w:val="left"/>
      </w:pPr>
      <w:r>
        <w:rPr>
          <w:rFonts w:ascii="Times New Roman" w:hAnsi="Times New Roman"/>
          <w:i/>
          <w:sz w:val="17"/>
        </w:rPr>
        <w:t xml:space="preserve">Note. </w:t>
      </w:r>
      <w:r>
        <w:rPr>
          <w:rFonts w:ascii="Times New Roman" w:hAnsi="Times New Roman"/>
          <w:sz w:val="17"/>
        </w:rPr>
        <w:t>Parameter counts and inference latency from four_model_complexity.csv. Inference on Fold-10 (N=2,158) on CPU. Latency = total runtime / N. The +513 parameter delta for ECGResNet-Attention is the Conv1d(512-&gt;1) attention scoring layer vs ECGResNet-GAP. This table is descriptive only; no model is designated best, optimal, or state-of-the-art.</w:t>
      </w:r>
    </w:p>
    <w:p>
      <w:r>
        <w:br w:type="page"/>
      </w:r>
    </w:p>
    <w:p>
      <w:pPr>
        <w:spacing w:before="120" w:after="60"/>
        <w:jc w:val="center"/>
      </w:pPr>
      <w:r>
        <w:rPr>
          <w:rFonts w:ascii="Times New Roman" w:hAnsi="Times New Roman"/>
          <w:b/>
          <w:sz w:val="20"/>
        </w:rPr>
        <w:t>TABLE III. Four-Model Performance on the Frozen Fold-10 Test Set (N = 2,158)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088"/>
            <w:vAlign w:val="center"/>
            <w:shd w:val="clear" w:color="auto" w:fill="D9E2F3"/>
            <w:tcBorders>
              <w:bottom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Model</w:t>
            </w:r>
          </w:p>
        </w:tc>
        <w:tc>
          <w:tcPr>
            <w:tcW w:type="dxa" w:w="1440"/>
            <w:vAlign w:val="center"/>
            <w:shd w:val="clear" w:color="auto" w:fill="D9E2F3"/>
            <w:tcBorders>
              <w:bottom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Macro-AUROC</w:t>
              <w:br/>
              <w:t>[95% CI]</w:t>
            </w:r>
          </w:p>
        </w:tc>
        <w:tc>
          <w:tcPr>
            <w:tcW w:type="dxa" w:w="1440"/>
            <w:vAlign w:val="center"/>
            <w:shd w:val="clear" w:color="auto" w:fill="D9E2F3"/>
            <w:tcBorders>
              <w:bottom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Macro-AP</w:t>
              <w:br/>
              <w:t>[95% CI]</w:t>
            </w:r>
          </w:p>
        </w:tc>
        <w:tc>
          <w:tcPr>
            <w:tcW w:type="dxa" w:w="1440"/>
            <w:vAlign w:val="center"/>
            <w:shd w:val="clear" w:color="auto" w:fill="D9E2F3"/>
            <w:tcBorders>
              <w:bottom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Macro-F1</w:t>
              <w:br/>
              <w:t>[95% CI]</w:t>
            </w:r>
          </w:p>
        </w:tc>
        <w:tc>
          <w:tcPr>
            <w:tcW w:type="dxa" w:w="1152"/>
            <w:vAlign w:val="center"/>
            <w:shd w:val="clear" w:color="auto" w:fill="D9E2F3"/>
            <w:tcBorders>
              <w:bottom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Weighted-F1</w:t>
            </w:r>
          </w:p>
        </w:tc>
        <w:tc>
          <w:tcPr>
            <w:tcW w:type="dxa" w:w="1080"/>
            <w:vAlign w:val="center"/>
            <w:shd w:val="clear" w:color="auto" w:fill="D9E2F3"/>
            <w:tcBorders>
              <w:bottom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Subset Acc. (%)</w:t>
            </w:r>
          </w:p>
        </w:tc>
        <w:tc>
          <w:tcPr>
            <w:tcW w:type="dxa" w:w="1008"/>
            <w:vAlign w:val="center"/>
            <w:shd w:val="clear" w:color="auto" w:fill="D9E2F3"/>
            <w:tcBorders>
              <w:bottom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Hamming Loss</w:t>
            </w:r>
          </w:p>
        </w:tc>
      </w:tr>
      <w:tr>
        <w:tc>
          <w:tcPr>
            <w:tcW w:type="dxa" w:w="1337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/>
                <w:b/>
                <w:i w:val="0"/>
                <w:sz w:val="18"/>
              </w:rPr>
              <w:t>InceptionTime</w:t>
            </w:r>
          </w:p>
        </w:tc>
        <w:tc>
          <w:tcPr>
            <w:tcW w:type="dxa" w:w="1337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0.8991</w:t>
              <w:br/>
              <w:t>[0.8896, 0.9077]</w:t>
            </w:r>
          </w:p>
        </w:tc>
        <w:tc>
          <w:tcPr>
            <w:tcW w:type="dxa" w:w="1337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0.7636</w:t>
              <w:br/>
              <w:t>[0.7458, 0.7808]</w:t>
            </w:r>
          </w:p>
        </w:tc>
        <w:tc>
          <w:tcPr>
            <w:tcW w:type="dxa" w:w="1337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0.7070</w:t>
              <w:br/>
              <w:t>[0.6904, 0.7226]</w:t>
            </w:r>
          </w:p>
        </w:tc>
        <w:tc>
          <w:tcPr>
            <w:tcW w:type="dxa" w:w="1337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0.7548</w:t>
            </w:r>
          </w:p>
        </w:tc>
        <w:tc>
          <w:tcPr>
            <w:tcW w:type="dxa" w:w="1337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58.80</w:t>
            </w:r>
          </w:p>
        </w:tc>
        <w:tc>
          <w:tcPr>
            <w:tcW w:type="dxa" w:w="1337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0.1296</w:t>
            </w:r>
          </w:p>
        </w:tc>
      </w:tr>
      <w:tr>
        <w:tc>
          <w:tcPr>
            <w:tcW w:type="dxa" w:w="1337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/>
                <w:b/>
                <w:i w:val="0"/>
                <w:sz w:val="18"/>
              </w:rPr>
              <w:t>ECGResNet-Attention</w:t>
            </w:r>
          </w:p>
        </w:tc>
        <w:tc>
          <w:tcPr>
            <w:tcW w:type="dxa" w:w="1337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0.8979</w:t>
              <w:br/>
              <w:t>[0.8886, 0.9062]</w:t>
            </w:r>
          </w:p>
        </w:tc>
        <w:tc>
          <w:tcPr>
            <w:tcW w:type="dxa" w:w="1337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0.7644</w:t>
              <w:br/>
              <w:t>[0.7477, 0.7807]</w:t>
            </w:r>
          </w:p>
        </w:tc>
        <w:tc>
          <w:tcPr>
            <w:tcW w:type="dxa" w:w="1337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0.7052</w:t>
              <w:br/>
              <w:t>[0.6887, 0.7203]</w:t>
            </w:r>
          </w:p>
        </w:tc>
        <w:tc>
          <w:tcPr>
            <w:tcW w:type="dxa" w:w="1337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0.7507</w:t>
            </w:r>
          </w:p>
        </w:tc>
        <w:tc>
          <w:tcPr>
            <w:tcW w:type="dxa" w:w="1337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58.71</w:t>
            </w:r>
          </w:p>
        </w:tc>
        <w:tc>
          <w:tcPr>
            <w:tcW w:type="dxa" w:w="1337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0.1338</w:t>
            </w:r>
          </w:p>
        </w:tc>
      </w:tr>
      <w:tr>
        <w:tc>
          <w:tcPr>
            <w:tcW w:type="dxa" w:w="1337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/>
                <w:b/>
                <w:i w:val="0"/>
                <w:sz w:val="18"/>
              </w:rPr>
              <w:t>ECGResNet-GAP</w:t>
            </w:r>
          </w:p>
        </w:tc>
        <w:tc>
          <w:tcPr>
            <w:tcW w:type="dxa" w:w="1337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0.8868</w:t>
              <w:br/>
              <w:t>[0.8766, 0.8958]</w:t>
            </w:r>
          </w:p>
        </w:tc>
        <w:tc>
          <w:tcPr>
            <w:tcW w:type="dxa" w:w="1337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0.7334</w:t>
              <w:br/>
              <w:t>[0.7148, 0.7532]</w:t>
            </w:r>
          </w:p>
        </w:tc>
        <w:tc>
          <w:tcPr>
            <w:tcW w:type="dxa" w:w="1337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0.6907</w:t>
              <w:br/>
              <w:t>[0.6738, 0.7066]</w:t>
            </w:r>
          </w:p>
        </w:tc>
        <w:tc>
          <w:tcPr>
            <w:tcW w:type="dxa" w:w="1337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0.7400</w:t>
            </w:r>
          </w:p>
        </w:tc>
        <w:tc>
          <w:tcPr>
            <w:tcW w:type="dxa" w:w="1337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56.67</w:t>
            </w:r>
          </w:p>
        </w:tc>
        <w:tc>
          <w:tcPr>
            <w:tcW w:type="dxa" w:w="1337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0.1399</w:t>
            </w:r>
          </w:p>
        </w:tc>
      </w:tr>
      <w:tr>
        <w:tc>
          <w:tcPr>
            <w:tcW w:type="dxa" w:w="1337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/>
                <w:b/>
                <w:i w:val="0"/>
                <w:sz w:val="18"/>
              </w:rPr>
              <w:t>XResNet1D</w:t>
            </w:r>
          </w:p>
        </w:tc>
        <w:tc>
          <w:tcPr>
            <w:tcW w:type="dxa" w:w="1337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0.8775</w:t>
              <w:br/>
              <w:t>[0.8669, 0.8871]</w:t>
            </w:r>
          </w:p>
        </w:tc>
        <w:tc>
          <w:tcPr>
            <w:tcW w:type="dxa" w:w="1337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0.7276</w:t>
              <w:br/>
              <w:t>[0.7097, 0.7457]</w:t>
            </w:r>
          </w:p>
        </w:tc>
        <w:tc>
          <w:tcPr>
            <w:tcW w:type="dxa" w:w="1337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0.6680</w:t>
              <w:br/>
              <w:t>[0.6520, 0.6833]</w:t>
            </w:r>
          </w:p>
        </w:tc>
        <w:tc>
          <w:tcPr>
            <w:tcW w:type="dxa" w:w="1337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0.7150</w:t>
            </w:r>
          </w:p>
        </w:tc>
        <w:tc>
          <w:tcPr>
            <w:tcW w:type="dxa" w:w="1337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50.88</w:t>
            </w:r>
          </w:p>
        </w:tc>
        <w:tc>
          <w:tcPr>
            <w:tcW w:type="dxa" w:w="1337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0.1606</w:t>
            </w:r>
          </w:p>
        </w:tc>
      </w:tr>
    </w:tbl>
    <w:p>
      <w:pPr>
        <w:spacing w:before="40" w:after="160"/>
        <w:jc w:val="left"/>
      </w:pPr>
      <w:r>
        <w:rPr>
          <w:rFonts w:ascii="Times New Roman" w:hAnsi="Times New Roman"/>
          <w:i/>
          <w:sz w:val="17"/>
        </w:rPr>
        <w:t xml:space="preserve">Note. </w:t>
      </w:r>
      <w:r>
        <w:rPr>
          <w:rFonts w:ascii="Times New Roman" w:hAnsi="Times New Roman"/>
          <w:sz w:val="17"/>
        </w:rPr>
        <w:t>All metrics on frozen Fold-10 (N=2,158). Macro-AUROC and Macro-AP are threshold-independent ranking metrics. Macro-F1, Weighted-F1, Subset Accuracy, Hamming Loss use Fold-9-derived thresholds. 95% CIs from 1,000 paired bootstrap resamples (SEED=42). Source: four_model_point_estimates.csv; CIs from table_3_point_estimates.csv.</w:t>
      </w:r>
    </w:p>
    <w:p>
      <w:r>
        <w:br w:type="page"/>
      </w:r>
    </w:p>
    <w:p>
      <w:pPr>
        <w:spacing w:before="120" w:after="60"/>
        <w:jc w:val="center"/>
      </w:pPr>
      <w:r>
        <w:rPr>
          <w:rFonts w:ascii="Times New Roman" w:hAnsi="Times New Roman"/>
          <w:b/>
          <w:sz w:val="20"/>
        </w:rPr>
        <w:t>TABLE IV. Paired Bootstrap Comparison: ECGResNet-Attention vs. ECGResNet-GAP (Attention - GAP, B=1,000 resamples, Seed=42)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vAlign w:val="center"/>
            <w:shd w:val="clear" w:color="auto" w:fill="D9E2F3"/>
            <w:tcBorders>
              <w:bottom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Metric</w:t>
            </w:r>
          </w:p>
        </w:tc>
        <w:tc>
          <w:tcPr>
            <w:tcW w:type="dxa" w:w="2448"/>
            <w:vAlign w:val="center"/>
            <w:shd w:val="clear" w:color="auto" w:fill="D9E2F3"/>
            <w:tcBorders>
              <w:bottom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Performance Difference (Δ)</w:t>
            </w:r>
          </w:p>
        </w:tc>
        <w:tc>
          <w:tcPr>
            <w:tcW w:type="dxa" w:w="2304"/>
            <w:vAlign w:val="center"/>
            <w:shd w:val="clear" w:color="auto" w:fill="D9E2F3"/>
            <w:tcBorders>
              <w:bottom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95% Bootstrap CI</w:t>
            </w:r>
          </w:p>
        </w:tc>
        <w:tc>
          <w:tcPr>
            <w:tcW w:type="dxa" w:w="2016"/>
            <w:vAlign w:val="center"/>
            <w:shd w:val="clear" w:color="auto" w:fill="D9E2F3"/>
            <w:tcBorders>
              <w:bottom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P(Attention &gt; GAP)</w:t>
            </w:r>
          </w:p>
        </w:tc>
      </w:tr>
      <w:tr>
        <w:tc>
          <w:tcPr>
            <w:tcW w:type="dxa" w:w="234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/>
                <w:b/>
                <w:i w:val="0"/>
                <w:sz w:val="19"/>
              </w:rPr>
              <w:t>Macro-AUROC</w:t>
            </w:r>
          </w:p>
        </w:tc>
        <w:tc>
          <w:tcPr>
            <w:tcW w:type="dxa" w:w="234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+0.0110</w:t>
            </w:r>
          </w:p>
        </w:tc>
        <w:tc>
          <w:tcPr>
            <w:tcW w:type="dxa" w:w="234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[+0.0070, +0.0152]</w:t>
            </w:r>
          </w:p>
        </w:tc>
        <w:tc>
          <w:tcPr>
            <w:tcW w:type="dxa" w:w="234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100.0%</w:t>
            </w:r>
          </w:p>
        </w:tc>
      </w:tr>
      <w:tr>
        <w:tc>
          <w:tcPr>
            <w:tcW w:type="dxa" w:w="234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/>
                <w:b/>
                <w:i w:val="0"/>
                <w:sz w:val="19"/>
              </w:rPr>
              <w:t>Macro-AP</w:t>
            </w:r>
          </w:p>
        </w:tc>
        <w:tc>
          <w:tcPr>
            <w:tcW w:type="dxa" w:w="234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+0.0310</w:t>
            </w:r>
          </w:p>
        </w:tc>
        <w:tc>
          <w:tcPr>
            <w:tcW w:type="dxa" w:w="234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[+0.0205, +0.0420]</w:t>
            </w:r>
          </w:p>
        </w:tc>
        <w:tc>
          <w:tcPr>
            <w:tcW w:type="dxa" w:w="234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100.0%</w:t>
            </w:r>
          </w:p>
        </w:tc>
      </w:tr>
      <w:tr>
        <w:tc>
          <w:tcPr>
            <w:tcW w:type="dxa" w:w="234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/>
                <w:b/>
                <w:i w:val="0"/>
                <w:sz w:val="19"/>
              </w:rPr>
              <w:t>Macro-F1</w:t>
            </w:r>
          </w:p>
        </w:tc>
        <w:tc>
          <w:tcPr>
            <w:tcW w:type="dxa" w:w="234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+0.0144</w:t>
            </w:r>
          </w:p>
        </w:tc>
        <w:tc>
          <w:tcPr>
            <w:tcW w:type="dxa" w:w="234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[+0.0032, +0.0264]</w:t>
            </w:r>
          </w:p>
        </w:tc>
        <w:tc>
          <w:tcPr>
            <w:tcW w:type="dxa" w:w="234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99.6%</w:t>
            </w:r>
          </w:p>
        </w:tc>
      </w:tr>
    </w:tbl>
    <w:p>
      <w:pPr>
        <w:spacing w:before="40" w:after="160"/>
        <w:jc w:val="left"/>
      </w:pPr>
      <w:r>
        <w:rPr>
          <w:rFonts w:ascii="Times New Roman" w:hAnsi="Times New Roman"/>
          <w:i/>
          <w:sz w:val="17"/>
        </w:rPr>
        <w:t xml:space="preserve">Note. </w:t>
      </w:r>
      <w:r>
        <w:rPr>
          <w:rFonts w:ascii="Times New Roman" w:hAnsi="Times New Roman"/>
          <w:sz w:val="17"/>
        </w:rPr>
        <w:t>Bootstrap resampling on the same aligned Fold-10 records for both models (N=2,158). Delta = ECGResNet-Attention minus ECGResNet-GAP. P(Attention&gt;GAP) is the empirical bootstrap probability; not converted to a conventional p-value. Source: four_model_paired_bootstrap.csv (rows model_1=ECGResNet-Attention, model_2=ECGResNet-GAP).</w:t>
      </w:r>
    </w:p>
    <w:p>
      <w:r>
        <w:br w:type="page"/>
      </w:r>
    </w:p>
    <w:p>
      <w:pPr>
        <w:spacing w:before="120" w:after="60"/>
        <w:jc w:val="center"/>
      </w:pPr>
      <w:r>
        <w:rPr>
          <w:rFonts w:ascii="Times New Roman" w:hAnsi="Times New Roman"/>
          <w:b/>
          <w:sz w:val="20"/>
        </w:rPr>
        <w:t>TABLE V. Per-Class Performance Across the Four ECG Architectures (Fold-10, N = 2,158)</w:t>
      </w:r>
    </w:p>
    <w:p>
      <w:pPr>
        <w:jc w:val="center"/>
      </w:pPr>
      <w:r>
        <w:rPr>
          <w:rFonts w:ascii="Times New Roman" w:hAnsi="Times New Roman"/>
          <w:b/>
          <w:sz w:val="19"/>
        </w:rPr>
        <w:t>Panel (A): Per-Class AUROC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448"/>
            <w:vAlign w:val="center"/>
            <w:shd w:val="clear" w:color="auto" w:fill="D9E2F3"/>
            <w:tcBorders>
              <w:bottom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Model</w:t>
            </w:r>
          </w:p>
        </w:tc>
        <w:tc>
          <w:tcPr>
            <w:tcW w:type="dxa" w:w="1411"/>
            <w:vAlign w:val="center"/>
            <w:shd w:val="clear" w:color="auto" w:fill="D9E2F3"/>
            <w:tcBorders>
              <w:bottom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NORM</w:t>
            </w:r>
          </w:p>
        </w:tc>
        <w:tc>
          <w:tcPr>
            <w:tcW w:type="dxa" w:w="1411"/>
            <w:vAlign w:val="center"/>
            <w:shd w:val="clear" w:color="auto" w:fill="D9E2F3"/>
            <w:tcBorders>
              <w:bottom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STTC</w:t>
            </w:r>
          </w:p>
        </w:tc>
        <w:tc>
          <w:tcPr>
            <w:tcW w:type="dxa" w:w="1411"/>
            <w:vAlign w:val="center"/>
            <w:shd w:val="clear" w:color="auto" w:fill="D9E2F3"/>
            <w:tcBorders>
              <w:bottom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CD</w:t>
            </w:r>
          </w:p>
        </w:tc>
        <w:tc>
          <w:tcPr>
            <w:tcW w:type="dxa" w:w="1411"/>
            <w:vAlign w:val="center"/>
            <w:shd w:val="clear" w:color="auto" w:fill="D9E2F3"/>
            <w:tcBorders>
              <w:bottom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MI</w:t>
            </w:r>
          </w:p>
        </w:tc>
        <w:tc>
          <w:tcPr>
            <w:tcW w:type="dxa" w:w="1411"/>
            <w:vAlign w:val="center"/>
            <w:shd w:val="clear" w:color="auto" w:fill="D9E2F3"/>
            <w:tcBorders>
              <w:bottom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HYP</w:t>
            </w:r>
          </w:p>
        </w:tc>
      </w:tr>
      <w:tr>
        <w:tc>
          <w:tcPr>
            <w:tcW w:type="dxa" w:w="156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/>
                <w:b/>
                <w:i w:val="0"/>
                <w:sz w:val="18"/>
              </w:rPr>
              <w:t>ECGResNet-GAP</w:t>
            </w:r>
          </w:p>
        </w:tc>
        <w:tc>
          <w:tcPr>
            <w:tcW w:type="dxa" w:w="156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0.9316</w:t>
            </w:r>
          </w:p>
        </w:tc>
        <w:tc>
          <w:tcPr>
            <w:tcW w:type="dxa" w:w="156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0.9168</w:t>
            </w:r>
          </w:p>
        </w:tc>
        <w:tc>
          <w:tcPr>
            <w:tcW w:type="dxa" w:w="156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0.9025</w:t>
            </w:r>
          </w:p>
        </w:tc>
        <w:tc>
          <w:tcPr>
            <w:tcW w:type="dxa" w:w="156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0.9151</w:t>
            </w:r>
          </w:p>
        </w:tc>
        <w:tc>
          <w:tcPr>
            <w:tcW w:type="dxa" w:w="156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0.7682</w:t>
            </w:r>
          </w:p>
        </w:tc>
      </w:tr>
      <w:tr>
        <w:tc>
          <w:tcPr>
            <w:tcW w:type="dxa" w:w="156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/>
                <w:b/>
                <w:i w:val="0"/>
                <w:sz w:val="18"/>
              </w:rPr>
              <w:t>ECGResNet-Attention</w:t>
            </w:r>
          </w:p>
        </w:tc>
        <w:tc>
          <w:tcPr>
            <w:tcW w:type="dxa" w:w="156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0.9408</w:t>
            </w:r>
          </w:p>
        </w:tc>
        <w:tc>
          <w:tcPr>
            <w:tcW w:type="dxa" w:w="156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0.9284</w:t>
            </w:r>
          </w:p>
        </w:tc>
        <w:tc>
          <w:tcPr>
            <w:tcW w:type="dxa" w:w="156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0.9060</w:t>
            </w:r>
          </w:p>
        </w:tc>
        <w:tc>
          <w:tcPr>
            <w:tcW w:type="dxa" w:w="156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0.9190</w:t>
            </w:r>
          </w:p>
        </w:tc>
        <w:tc>
          <w:tcPr>
            <w:tcW w:type="dxa" w:w="156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0.7951</w:t>
            </w:r>
          </w:p>
        </w:tc>
      </w:tr>
      <w:tr>
        <w:tc>
          <w:tcPr>
            <w:tcW w:type="dxa" w:w="156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/>
                <w:b/>
                <w:i w:val="0"/>
                <w:sz w:val="18"/>
              </w:rPr>
              <w:t>XResNet1D</w:t>
            </w:r>
          </w:p>
        </w:tc>
        <w:tc>
          <w:tcPr>
            <w:tcW w:type="dxa" w:w="156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0.9161</w:t>
            </w:r>
          </w:p>
        </w:tc>
        <w:tc>
          <w:tcPr>
            <w:tcW w:type="dxa" w:w="156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0.9154</w:t>
            </w:r>
          </w:p>
        </w:tc>
        <w:tc>
          <w:tcPr>
            <w:tcW w:type="dxa" w:w="156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0.8990</w:t>
            </w:r>
          </w:p>
        </w:tc>
        <w:tc>
          <w:tcPr>
            <w:tcW w:type="dxa" w:w="156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0.8791</w:t>
            </w:r>
          </w:p>
        </w:tc>
        <w:tc>
          <w:tcPr>
            <w:tcW w:type="dxa" w:w="156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0.7779</w:t>
            </w:r>
          </w:p>
        </w:tc>
      </w:tr>
      <w:tr>
        <w:tc>
          <w:tcPr>
            <w:tcW w:type="dxa" w:w="156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/>
                <w:b/>
                <w:i w:val="0"/>
                <w:sz w:val="18"/>
              </w:rPr>
              <w:t>InceptionTime</w:t>
            </w:r>
          </w:p>
        </w:tc>
        <w:tc>
          <w:tcPr>
            <w:tcW w:type="dxa" w:w="156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0.9385</w:t>
            </w:r>
          </w:p>
        </w:tc>
        <w:tc>
          <w:tcPr>
            <w:tcW w:type="dxa" w:w="156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0.9276</w:t>
            </w:r>
          </w:p>
        </w:tc>
        <w:tc>
          <w:tcPr>
            <w:tcW w:type="dxa" w:w="156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0.9200</w:t>
            </w:r>
          </w:p>
        </w:tc>
        <w:tc>
          <w:tcPr>
            <w:tcW w:type="dxa" w:w="156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0.9194</w:t>
            </w:r>
          </w:p>
        </w:tc>
        <w:tc>
          <w:tcPr>
            <w:tcW w:type="dxa" w:w="156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0.7899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19"/>
        </w:rPr>
        <w:t>Panel (B): Per-Class Average Precision (AP)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448"/>
            <w:vAlign w:val="center"/>
            <w:shd w:val="clear" w:color="auto" w:fill="D9E2F3"/>
            <w:tcBorders>
              <w:bottom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Model</w:t>
            </w:r>
          </w:p>
        </w:tc>
        <w:tc>
          <w:tcPr>
            <w:tcW w:type="dxa" w:w="1411"/>
            <w:vAlign w:val="center"/>
            <w:shd w:val="clear" w:color="auto" w:fill="D9E2F3"/>
            <w:tcBorders>
              <w:bottom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NORM</w:t>
            </w:r>
          </w:p>
        </w:tc>
        <w:tc>
          <w:tcPr>
            <w:tcW w:type="dxa" w:w="1411"/>
            <w:vAlign w:val="center"/>
            <w:shd w:val="clear" w:color="auto" w:fill="D9E2F3"/>
            <w:tcBorders>
              <w:bottom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STTC</w:t>
            </w:r>
          </w:p>
        </w:tc>
        <w:tc>
          <w:tcPr>
            <w:tcW w:type="dxa" w:w="1411"/>
            <w:vAlign w:val="center"/>
            <w:shd w:val="clear" w:color="auto" w:fill="D9E2F3"/>
            <w:tcBorders>
              <w:bottom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CD</w:t>
            </w:r>
          </w:p>
        </w:tc>
        <w:tc>
          <w:tcPr>
            <w:tcW w:type="dxa" w:w="1411"/>
            <w:vAlign w:val="center"/>
            <w:shd w:val="clear" w:color="auto" w:fill="D9E2F3"/>
            <w:tcBorders>
              <w:bottom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MI</w:t>
            </w:r>
          </w:p>
        </w:tc>
        <w:tc>
          <w:tcPr>
            <w:tcW w:type="dxa" w:w="1411"/>
            <w:vAlign w:val="center"/>
            <w:shd w:val="clear" w:color="auto" w:fill="D9E2F3"/>
            <w:tcBorders>
              <w:bottom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HYP</w:t>
            </w:r>
          </w:p>
        </w:tc>
      </w:tr>
      <w:tr>
        <w:tc>
          <w:tcPr>
            <w:tcW w:type="dxa" w:w="156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/>
                <w:b/>
                <w:i w:val="0"/>
                <w:sz w:val="18"/>
              </w:rPr>
              <w:t>ECGResNet-GAP</w:t>
            </w:r>
          </w:p>
        </w:tc>
        <w:tc>
          <w:tcPr>
            <w:tcW w:type="dxa" w:w="156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0.9050</w:t>
            </w:r>
          </w:p>
        </w:tc>
        <w:tc>
          <w:tcPr>
            <w:tcW w:type="dxa" w:w="156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0.7793</w:t>
            </w:r>
          </w:p>
        </w:tc>
        <w:tc>
          <w:tcPr>
            <w:tcW w:type="dxa" w:w="156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0.8066</w:t>
            </w:r>
          </w:p>
        </w:tc>
        <w:tc>
          <w:tcPr>
            <w:tcW w:type="dxa" w:w="156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0.7906</w:t>
            </w:r>
          </w:p>
        </w:tc>
        <w:tc>
          <w:tcPr>
            <w:tcW w:type="dxa" w:w="156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0.3854</w:t>
            </w:r>
          </w:p>
        </w:tc>
      </w:tr>
      <w:tr>
        <w:tc>
          <w:tcPr>
            <w:tcW w:type="dxa" w:w="156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/>
                <w:b/>
                <w:i w:val="0"/>
                <w:sz w:val="18"/>
              </w:rPr>
              <w:t>ECGResNet-Attention</w:t>
            </w:r>
          </w:p>
        </w:tc>
        <w:tc>
          <w:tcPr>
            <w:tcW w:type="dxa" w:w="156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0.9198</w:t>
            </w:r>
          </w:p>
        </w:tc>
        <w:tc>
          <w:tcPr>
            <w:tcW w:type="dxa" w:w="156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0.8226</w:t>
            </w:r>
          </w:p>
        </w:tc>
        <w:tc>
          <w:tcPr>
            <w:tcW w:type="dxa" w:w="156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0.8210</w:t>
            </w:r>
          </w:p>
        </w:tc>
        <w:tc>
          <w:tcPr>
            <w:tcW w:type="dxa" w:w="156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0.8167</w:t>
            </w:r>
          </w:p>
        </w:tc>
        <w:tc>
          <w:tcPr>
            <w:tcW w:type="dxa" w:w="156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0.4417</w:t>
            </w:r>
          </w:p>
        </w:tc>
      </w:tr>
      <w:tr>
        <w:tc>
          <w:tcPr>
            <w:tcW w:type="dxa" w:w="156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/>
                <w:b/>
                <w:i w:val="0"/>
                <w:sz w:val="18"/>
              </w:rPr>
              <w:t>XResNet1D</w:t>
            </w:r>
          </w:p>
        </w:tc>
        <w:tc>
          <w:tcPr>
            <w:tcW w:type="dxa" w:w="156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0.8815</w:t>
            </w:r>
          </w:p>
        </w:tc>
        <w:tc>
          <w:tcPr>
            <w:tcW w:type="dxa" w:w="156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0.7811</w:t>
            </w:r>
          </w:p>
        </w:tc>
        <w:tc>
          <w:tcPr>
            <w:tcW w:type="dxa" w:w="156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0.7848</w:t>
            </w:r>
          </w:p>
        </w:tc>
        <w:tc>
          <w:tcPr>
            <w:tcW w:type="dxa" w:w="156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0.7563</w:t>
            </w:r>
          </w:p>
        </w:tc>
        <w:tc>
          <w:tcPr>
            <w:tcW w:type="dxa" w:w="156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0.4342</w:t>
            </w:r>
          </w:p>
        </w:tc>
      </w:tr>
      <w:tr>
        <w:tc>
          <w:tcPr>
            <w:tcW w:type="dxa" w:w="156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/>
                <w:b/>
                <w:i w:val="0"/>
                <w:sz w:val="18"/>
              </w:rPr>
              <w:t>InceptionTime</w:t>
            </w:r>
          </w:p>
        </w:tc>
        <w:tc>
          <w:tcPr>
            <w:tcW w:type="dxa" w:w="156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0.9111</w:t>
            </w:r>
          </w:p>
        </w:tc>
        <w:tc>
          <w:tcPr>
            <w:tcW w:type="dxa" w:w="156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0.8133</w:t>
            </w:r>
          </w:p>
        </w:tc>
        <w:tc>
          <w:tcPr>
            <w:tcW w:type="dxa" w:w="156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0.8433</w:t>
            </w:r>
          </w:p>
        </w:tc>
        <w:tc>
          <w:tcPr>
            <w:tcW w:type="dxa" w:w="156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0.8166</w:t>
            </w:r>
          </w:p>
        </w:tc>
        <w:tc>
          <w:tcPr>
            <w:tcW w:type="dxa" w:w="156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0.4337</w:t>
            </w:r>
          </w:p>
        </w:tc>
      </w:tr>
    </w:tbl>
    <w:p>
      <w:pPr>
        <w:spacing w:before="40" w:after="160"/>
        <w:jc w:val="left"/>
      </w:pPr>
      <w:r>
        <w:rPr>
          <w:rFonts w:ascii="Times New Roman" w:hAnsi="Times New Roman"/>
          <w:i/>
          <w:sz w:val="17"/>
        </w:rPr>
        <w:t xml:space="preserve">Note. </w:t>
      </w:r>
      <w:r>
        <w:rPr>
          <w:rFonts w:ascii="Times New Roman" w:hAnsi="Times New Roman"/>
          <w:sz w:val="17"/>
        </w:rPr>
        <w:t>AUROC and AP are threshold-independent. ECGResNet-GAP: model_a_fold10_metrics.json; ECGResNet-Attention: model_b_fold10_per_class.csv; XResNet1D: model_xresnet_fold10_metrics.json; InceptionTime: model_inception_fold10_metrics.json. No values estimated from figures. Class support (N positive): NORM=963, STTC=521, CD=496, MI=550, HYP=262.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