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TABLES FOR IEEE PAPER — FINAL APPROVAL</w:t>
      </w:r>
    </w:p>
    <w:p/>
    <w:p>
      <w:pPr>
        <w:jc w:val="center"/>
      </w:pPr>
      <w:r>
        <w:rPr>
          <w:rFonts w:ascii="Times New Roman" w:hAnsi="Times New Roman"/>
          <w:i/>
          <w:sz w:val="26"/>
        </w:rPr>
        <w:t>A Controlled Evaluation of Temporal, Attention-Based, and Multi-Scale</w:t>
        <w:br/>
        <w:t>Representations for Multi-Label 12-Lead ECG Classification on PTB-XL</w:t>
      </w:r>
    </w:p>
    <w:p/>
    <w:p/>
    <w:p>
      <w:pPr>
        <w:jc w:val="center"/>
      </w:pPr>
      <w:r>
        <w:rPr>
          <w:rFonts w:ascii="Times New Roman" w:hAnsi="Times New Roman"/>
          <w:sz w:val="22"/>
        </w:rPr>
        <w:t>Tables I through V</w:t>
        <w:br/>
        <w:t>For Professor Review and Final Approval</w:t>
      </w:r>
    </w:p>
    <w:p/>
    <w:p>
      <w:pPr>
        <w:jc w:val="center"/>
      </w:pPr>
      <w:r>
        <w:rPr>
          <w:rFonts w:ascii="Times New Roman" w:hAnsi="Times New Roman"/>
          <w:sz w:val="18"/>
        </w:rPr>
        <w:t>Dataset: PTB-XL v1.0.3  |  Test Protocol: Official Fold-10 (N = 2,158)  |  Research Freeze: 2026-09-04  |  Tables Status: Finalized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120" w:after="80"/>
        <w:jc w:val="center"/>
      </w:pPr>
      <w:r>
        <w:rPr>
          <w:rFonts w:ascii="Times New Roman" w:hAnsi="Times New Roman"/>
          <w:b/>
          <w:sz w:val="20"/>
        </w:rPr>
        <w:t>TABLE I. Dataset and Patient-Isolated Fold-10 Evaluation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Partition</w:t>
            </w:r>
          </w:p>
        </w:tc>
        <w:tc>
          <w:tcPr>
            <w:tcW w:type="dxa" w:w="1296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Folds</w:t>
            </w:r>
          </w:p>
        </w:tc>
        <w:tc>
          <w:tcPr>
            <w:tcW w:type="dxa" w:w="2448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ECG Records</w:t>
            </w:r>
          </w:p>
        </w:tc>
        <w:tc>
          <w:tcPr>
            <w:tcW w:type="dxa" w:w="2448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</w:rPr>
              <w:t>Patients</w:t>
            </w:r>
          </w:p>
        </w:tc>
      </w:tr>
      <w:tr>
        <w:tc>
          <w:tcPr>
            <w:tcW w:type="dxa" w:w="316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Training</w:t>
            </w:r>
          </w:p>
        </w:tc>
        <w:tc>
          <w:tcPr>
            <w:tcW w:type="dxa" w:w="1296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1–8</w:t>
            </w:r>
          </w:p>
        </w:tc>
        <w:tc>
          <w:tcPr>
            <w:tcW w:type="dxa" w:w="244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17,084</w:t>
            </w:r>
          </w:p>
        </w:tc>
        <w:tc>
          <w:tcPr>
            <w:tcW w:type="dxa" w:w="244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14,823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Validation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9</w:t>
            </w:r>
          </w:p>
        </w:tc>
        <w:tc>
          <w:tcPr>
            <w:tcW w:type="dxa" w:w="2448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2,146</w:t>
            </w:r>
          </w:p>
        </w:tc>
        <w:tc>
          <w:tcPr>
            <w:tcW w:type="dxa" w:w="2448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1,917</w:t>
            </w:r>
          </w:p>
        </w:tc>
      </w:tr>
      <w:tr>
        <w:tc>
          <w:tcPr>
            <w:tcW w:type="dxa" w:w="316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Test (Frozen Fold 10)</w:t>
            </w:r>
          </w:p>
        </w:tc>
        <w:tc>
          <w:tcPr>
            <w:tcW w:type="dxa" w:w="1296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44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2,158</w:t>
            </w:r>
          </w:p>
        </w:tc>
        <w:tc>
          <w:tcPr>
            <w:tcW w:type="dxa" w:w="244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1,877</w:t>
            </w:r>
          </w:p>
        </w:tc>
      </w:tr>
      <w:tr>
        <w:tc>
          <w:tcPr>
            <w:tcW w:type="dxa" w:w="3168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Total Retained Diagnostic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1–10</w:t>
            </w:r>
          </w:p>
        </w:tc>
        <w:tc>
          <w:tcPr>
            <w:tcW w:type="dxa" w:w="2448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21,388</w:t>
            </w:r>
          </w:p>
        </w:tc>
        <w:tc>
          <w:tcPr>
            <w:tcW w:type="dxa" w:w="2448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18,477</w:t>
            </w:r>
          </w:p>
        </w:tc>
      </w:tr>
      <w:tr>
        <w:tc>
          <w:tcPr>
            <w:tcW w:type="dxa" w:w="316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9"/>
              </w:rPr>
              <w:t>Original PTB-XL v1.0.3</w:t>
            </w:r>
          </w:p>
        </w:tc>
        <w:tc>
          <w:tcPr>
            <w:tcW w:type="dxa" w:w="1296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1–10</w:t>
            </w:r>
          </w:p>
        </w:tc>
        <w:tc>
          <w:tcPr>
            <w:tcW w:type="dxa" w:w="244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21,799</w:t>
            </w:r>
          </w:p>
        </w:tc>
        <w:tc>
          <w:tcPr>
            <w:tcW w:type="dxa" w:w="244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18,885</w:t>
            </w:r>
          </w:p>
        </w:tc>
      </w:tr>
    </w:tbl>
    <w:p>
      <w:pPr>
        <w:spacing w:before="80" w:after="160"/>
        <w:jc w:val="left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Input: 12-lead 100-Hz ECG, shape 12 x 1,000 samples. Preprocessing: 2nd-order Butterworth bandpass (0.5–40 Hz), per-lead Z-score normalization. No patient overlap observed between training, validation, and test partitions. Of 21,799 total PTB-XL records, 411 lacked any diagnostic superclass mapping and were excluded; 21,388 records were retained for the diagnostic multi-label task. Sources: table_I_dataset_split.csv; four_model_prediction_alignment.json.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120" w:after="80"/>
        <w:jc w:val="center"/>
      </w:pPr>
      <w:r>
        <w:rPr>
          <w:rFonts w:ascii="Times New Roman" w:hAnsi="Times New Roman"/>
          <w:b/>
          <w:sz w:val="20"/>
        </w:rPr>
        <w:t>TABLE II. Architecture and Computational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4"/>
        <w:gridCol w:w="1934"/>
        <w:gridCol w:w="1934"/>
        <w:gridCol w:w="1934"/>
        <w:gridCol w:w="1934"/>
        <w:gridCol w:w="1934"/>
        <w:gridCol w:w="1934"/>
      </w:tblGrid>
      <w:tr>
        <w:tc>
          <w:tcPr>
            <w:tcW w:type="dxa" w:w="2016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Model</w:t>
            </w:r>
          </w:p>
        </w:tc>
        <w:tc>
          <w:tcPr>
            <w:tcW w:type="dxa" w:w="2448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Architecture</w:t>
            </w:r>
          </w:p>
        </w:tc>
        <w:tc>
          <w:tcPr>
            <w:tcW w:type="dxa" w:w="3456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Temporal Pooling / Aggregation</w:t>
            </w:r>
          </w:p>
        </w:tc>
        <w:tc>
          <w:tcPr>
            <w:tcW w:type="dxa" w:w="1368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Parameters</w:t>
            </w:r>
          </w:p>
        </w:tc>
        <w:tc>
          <w:tcPr>
            <w:tcW w:type="dxa" w:w="1440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Latency (ms/ECG)</w:t>
            </w:r>
          </w:p>
        </w:tc>
        <w:tc>
          <w:tcPr>
            <w:tcW w:type="dxa" w:w="1440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Throughput (ECG/s)</w:t>
            </w:r>
          </w:p>
        </w:tc>
        <w:tc>
          <w:tcPr>
            <w:tcW w:type="dxa" w:w="1368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Checkpoint (MB)</w:t>
            </w:r>
          </w:p>
        </w:tc>
      </w:tr>
      <w:tr>
        <w:tc>
          <w:tcPr>
            <w:tcW w:type="dxa" w:w="2016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ECGResNet-GAP</w:t>
            </w:r>
          </w:p>
        </w:tc>
        <w:tc>
          <w:tcPr>
            <w:tcW w:type="dxa" w:w="244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1D Residual CNN</w:t>
            </w:r>
          </w:p>
        </w:tc>
        <w:tc>
          <w:tcPr>
            <w:tcW w:type="dxa" w:w="3456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Global Average Pooling (GAP)</w:t>
            </w:r>
          </w:p>
        </w:tc>
        <w:tc>
          <w:tcPr>
            <w:tcW w:type="dxa" w:w="136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3,919,493</w:t>
            </w:r>
          </w:p>
        </w:tc>
        <w:tc>
          <w:tcPr>
            <w:tcW w:type="dxa" w:w="14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24.1</w:t>
            </w:r>
          </w:p>
        </w:tc>
        <w:tc>
          <w:tcPr>
            <w:tcW w:type="dxa" w:w="14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41.4</w:t>
            </w:r>
          </w:p>
        </w:tc>
        <w:tc>
          <w:tcPr>
            <w:tcW w:type="dxa" w:w="136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15.73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ECGResNet-Attention</w:t>
            </w:r>
          </w:p>
        </w:tc>
        <w:tc>
          <w:tcPr>
            <w:tcW w:type="dxa" w:w="2448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1D Residual CNN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Lightweight Temporal Attention Pooling (+513 params)</w:t>
            </w:r>
          </w:p>
        </w:tc>
        <w:tc>
          <w:tcPr>
            <w:tcW w:type="dxa" w:w="1368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3,920,006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16.0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62.6</w:t>
            </w:r>
          </w:p>
        </w:tc>
        <w:tc>
          <w:tcPr>
            <w:tcW w:type="dxa" w:w="1368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15.73</w:t>
            </w:r>
          </w:p>
        </w:tc>
      </w:tr>
      <w:tr>
        <w:tc>
          <w:tcPr>
            <w:tcW w:type="dxa" w:w="2016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XResNet1D</w:t>
            </w:r>
          </w:p>
        </w:tc>
        <w:tc>
          <w:tcPr>
            <w:tcW w:type="dxa" w:w="244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CV Stride-Tweaked 1D Residual CNN</w:t>
            </w:r>
          </w:p>
        </w:tc>
        <w:tc>
          <w:tcPr>
            <w:tcW w:type="dxa" w:w="3456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Anti-Aliased Pooling</w:t>
            </w:r>
          </w:p>
        </w:tc>
        <w:tc>
          <w:tcPr>
            <w:tcW w:type="dxa" w:w="136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3,931,525</w:t>
            </w:r>
          </w:p>
        </w:tc>
        <w:tc>
          <w:tcPr>
            <w:tcW w:type="dxa" w:w="14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24.2</w:t>
            </w:r>
          </w:p>
        </w:tc>
        <w:tc>
          <w:tcPr>
            <w:tcW w:type="dxa" w:w="14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41.3</w:t>
            </w:r>
          </w:p>
        </w:tc>
        <w:tc>
          <w:tcPr>
            <w:tcW w:type="dxa" w:w="136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15.78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InceptionTime1D</w:t>
            </w:r>
          </w:p>
        </w:tc>
        <w:tc>
          <w:tcPr>
            <w:tcW w:type="dxa" w:w="2448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Multi-Scale Inception 1D CNN (k=9,19,39)</w:t>
            </w:r>
          </w:p>
        </w:tc>
        <w:tc>
          <w:tcPr>
            <w:tcW w:type="dxa" w:w="3456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Global Average Pooling (GAP)</w:t>
            </w:r>
          </w:p>
        </w:tc>
        <w:tc>
          <w:tcPr>
            <w:tcW w:type="dxa" w:w="1368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3,886,149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24.1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41.6</w:t>
            </w:r>
          </w:p>
        </w:tc>
        <w:tc>
          <w:tcPr>
            <w:tcW w:type="dxa" w:w="1368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15.61</w:t>
            </w:r>
          </w:p>
        </w:tc>
      </w:tr>
    </w:tbl>
    <w:p>
      <w:pPr>
        <w:spacing w:before="80" w:after="160"/>
        <w:jc w:val="left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Parameter counts, CPU inference latency, throughput, and checkpoint file sizes read directly from table_II_model_complexity.csv. Inference measured on frozen Fold-10 (N = 2,158) under standardized CPU evaluation. Latency = total runtime / N; throughput = N / total runtime. The +513 parameter delta for ECGResNet-Attention corresponds to the Conv1d(512-&gt;1) temporal attention scoring layer relative to ECGResNet-GAP. This table is descriptive only; no model is designated best, optimal, or state-of-the-art.</w:t>
      </w:r>
    </w:p>
    <w:p>
      <w:pPr>
        <w:sectPr>
          <w:pgSz w:w="15840" w:h="12240" w:orient="landscape"/>
          <w:pgMar w:top="1152" w:right="1152" w:bottom="1152" w:left="1152" w:header="720" w:footer="720" w:gutter="0"/>
          <w:cols w:space="720"/>
          <w:docGrid w:linePitch="360"/>
        </w:sectPr>
      </w:pPr>
    </w:p>
    <w:p>
      <w:pPr>
        <w:spacing w:before="120" w:after="80"/>
        <w:jc w:val="center"/>
      </w:pPr>
      <w:r>
        <w:rPr>
          <w:rFonts w:ascii="Times New Roman" w:hAnsi="Times New Roman"/>
          <w:b/>
          <w:sz w:val="20"/>
        </w:rPr>
        <w:t>TABLE III. Four-Model Performance on the Frozen Fold-10 Test Set (N = 2,158)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54"/>
        <w:gridCol w:w="1354"/>
        <w:gridCol w:w="1354"/>
        <w:gridCol w:w="1354"/>
        <w:gridCol w:w="1354"/>
        <w:gridCol w:w="1354"/>
        <w:gridCol w:w="1354"/>
        <w:gridCol w:w="1354"/>
        <w:gridCol w:w="1354"/>
        <w:gridCol w:w="1354"/>
      </w:tblGrid>
      <w:tr>
        <w:tc>
          <w:tcPr>
            <w:tcW w:type="dxa" w:w="1872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Model</w:t>
            </w:r>
          </w:p>
        </w:tc>
        <w:tc>
          <w:tcPr>
            <w:tcW w:type="dxa" w:w="1080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Macro-AUROC</w:t>
            </w:r>
          </w:p>
        </w:tc>
        <w:tc>
          <w:tcPr>
            <w:tcW w:type="dxa" w:w="1512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AUROC 95% CI</w:t>
            </w:r>
          </w:p>
        </w:tc>
        <w:tc>
          <w:tcPr>
            <w:tcW w:type="dxa" w:w="1080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Macro-AP</w:t>
            </w:r>
          </w:p>
        </w:tc>
        <w:tc>
          <w:tcPr>
            <w:tcW w:type="dxa" w:w="1512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AP 95% CI</w:t>
            </w:r>
          </w:p>
        </w:tc>
        <w:tc>
          <w:tcPr>
            <w:tcW w:type="dxa" w:w="1080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Macro-F1</w:t>
            </w:r>
          </w:p>
        </w:tc>
        <w:tc>
          <w:tcPr>
            <w:tcW w:type="dxa" w:w="1512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F1 95% CI</w:t>
            </w:r>
          </w:p>
        </w:tc>
        <w:tc>
          <w:tcPr>
            <w:tcW w:type="dxa" w:w="1224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Weighted-F1</w:t>
            </w:r>
          </w:p>
        </w:tc>
        <w:tc>
          <w:tcPr>
            <w:tcW w:type="dxa" w:w="1368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Subset Acc. (%)</w:t>
            </w:r>
          </w:p>
        </w:tc>
        <w:tc>
          <w:tcPr>
            <w:tcW w:type="dxa" w:w="1296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Hamming Loss</w:t>
            </w:r>
          </w:p>
        </w:tc>
      </w:tr>
      <w:tr>
        <w:tc>
          <w:tcPr>
            <w:tcW w:type="dxa" w:w="187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</w:rPr>
              <w:t>ECGResNet-GAP</w:t>
            </w:r>
          </w:p>
        </w:tc>
        <w:tc>
          <w:tcPr>
            <w:tcW w:type="dxa" w:w="108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0.8868</w:t>
            </w:r>
          </w:p>
        </w:tc>
        <w:tc>
          <w:tcPr>
            <w:tcW w:type="dxa" w:w="151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[0.8766, 0.8958]</w:t>
            </w:r>
          </w:p>
        </w:tc>
        <w:tc>
          <w:tcPr>
            <w:tcW w:type="dxa" w:w="108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0.7334</w:t>
            </w:r>
          </w:p>
        </w:tc>
        <w:tc>
          <w:tcPr>
            <w:tcW w:type="dxa" w:w="151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[0.7148, 0.7532]</w:t>
            </w:r>
          </w:p>
        </w:tc>
        <w:tc>
          <w:tcPr>
            <w:tcW w:type="dxa" w:w="108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0.6907</w:t>
            </w:r>
          </w:p>
        </w:tc>
        <w:tc>
          <w:tcPr>
            <w:tcW w:type="dxa" w:w="151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[0.6738, 0.7066]</w:t>
            </w:r>
          </w:p>
        </w:tc>
        <w:tc>
          <w:tcPr>
            <w:tcW w:type="dxa" w:w="1224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0.7400</w:t>
            </w:r>
          </w:p>
        </w:tc>
        <w:tc>
          <w:tcPr>
            <w:tcW w:type="dxa" w:w="136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56.67</w:t>
            </w:r>
          </w:p>
        </w:tc>
        <w:tc>
          <w:tcPr>
            <w:tcW w:type="dxa" w:w="1296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0.1399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</w:rPr>
              <w:t>ECGResNet-Attention</w:t>
            </w:r>
          </w:p>
        </w:tc>
        <w:tc>
          <w:tcPr>
            <w:tcW w:type="dxa" w:w="108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0.8979</w:t>
            </w:r>
          </w:p>
        </w:tc>
        <w:tc>
          <w:tcPr>
            <w:tcW w:type="dxa" w:w="151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[0.8886, 0.9062]</w:t>
            </w:r>
          </w:p>
        </w:tc>
        <w:tc>
          <w:tcPr>
            <w:tcW w:type="dxa" w:w="108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0.7644</w:t>
            </w:r>
          </w:p>
        </w:tc>
        <w:tc>
          <w:tcPr>
            <w:tcW w:type="dxa" w:w="151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[0.7477, 0.7807]</w:t>
            </w:r>
          </w:p>
        </w:tc>
        <w:tc>
          <w:tcPr>
            <w:tcW w:type="dxa" w:w="108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0.7052</w:t>
            </w:r>
          </w:p>
        </w:tc>
        <w:tc>
          <w:tcPr>
            <w:tcW w:type="dxa" w:w="151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[0.6887, 0.7203]</w:t>
            </w:r>
          </w:p>
        </w:tc>
        <w:tc>
          <w:tcPr>
            <w:tcW w:type="dxa" w:w="1224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0.7507</w:t>
            </w:r>
          </w:p>
        </w:tc>
        <w:tc>
          <w:tcPr>
            <w:tcW w:type="dxa" w:w="1368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58.71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0.1338</w:t>
            </w:r>
          </w:p>
        </w:tc>
      </w:tr>
      <w:tr>
        <w:tc>
          <w:tcPr>
            <w:tcW w:type="dxa" w:w="187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</w:rPr>
              <w:t>XResNet1D</w:t>
            </w:r>
          </w:p>
        </w:tc>
        <w:tc>
          <w:tcPr>
            <w:tcW w:type="dxa" w:w="108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0.8775</w:t>
            </w:r>
          </w:p>
        </w:tc>
        <w:tc>
          <w:tcPr>
            <w:tcW w:type="dxa" w:w="151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[0.8669, 0.8871]</w:t>
            </w:r>
          </w:p>
        </w:tc>
        <w:tc>
          <w:tcPr>
            <w:tcW w:type="dxa" w:w="108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0.7276</w:t>
            </w:r>
          </w:p>
        </w:tc>
        <w:tc>
          <w:tcPr>
            <w:tcW w:type="dxa" w:w="151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[0.7097, 0.7457]</w:t>
            </w:r>
          </w:p>
        </w:tc>
        <w:tc>
          <w:tcPr>
            <w:tcW w:type="dxa" w:w="108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0.6680</w:t>
            </w:r>
          </w:p>
        </w:tc>
        <w:tc>
          <w:tcPr>
            <w:tcW w:type="dxa" w:w="151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[0.6520, 0.6833]</w:t>
            </w:r>
          </w:p>
        </w:tc>
        <w:tc>
          <w:tcPr>
            <w:tcW w:type="dxa" w:w="1224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0.7150</w:t>
            </w:r>
          </w:p>
        </w:tc>
        <w:tc>
          <w:tcPr>
            <w:tcW w:type="dxa" w:w="136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50.88</w:t>
            </w:r>
          </w:p>
        </w:tc>
        <w:tc>
          <w:tcPr>
            <w:tcW w:type="dxa" w:w="1296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0.1606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</w:rPr>
              <w:t>InceptionTime</w:t>
            </w:r>
          </w:p>
        </w:tc>
        <w:tc>
          <w:tcPr>
            <w:tcW w:type="dxa" w:w="108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0.8991</w:t>
            </w:r>
          </w:p>
        </w:tc>
        <w:tc>
          <w:tcPr>
            <w:tcW w:type="dxa" w:w="151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[0.8896, 0.9077]</w:t>
            </w:r>
          </w:p>
        </w:tc>
        <w:tc>
          <w:tcPr>
            <w:tcW w:type="dxa" w:w="108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0.7636</w:t>
            </w:r>
          </w:p>
        </w:tc>
        <w:tc>
          <w:tcPr>
            <w:tcW w:type="dxa" w:w="151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[0.7458, 0.7808]</w:t>
            </w:r>
          </w:p>
        </w:tc>
        <w:tc>
          <w:tcPr>
            <w:tcW w:type="dxa" w:w="108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0.7070</w:t>
            </w:r>
          </w:p>
        </w:tc>
        <w:tc>
          <w:tcPr>
            <w:tcW w:type="dxa" w:w="151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[0.6904, 0.7226]</w:t>
            </w:r>
          </w:p>
        </w:tc>
        <w:tc>
          <w:tcPr>
            <w:tcW w:type="dxa" w:w="1224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0.7548</w:t>
            </w:r>
          </w:p>
        </w:tc>
        <w:tc>
          <w:tcPr>
            <w:tcW w:type="dxa" w:w="1368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58.80</w:t>
            </w:r>
          </w:p>
        </w:tc>
        <w:tc>
          <w:tcPr>
            <w:tcW w:type="dxa" w:w="1296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0.1296</w:t>
            </w:r>
          </w:p>
        </w:tc>
      </w:tr>
    </w:tbl>
    <w:p>
      <w:pPr>
        <w:spacing w:before="80" w:after="160"/>
        <w:jc w:val="left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All performance metrics evaluated on the frozen Fold-10 test set (N = 2,158) read directly from table_III_main_benchmark.csv. Macro-AUROC and Macro-AP are threshold-independent ranking metrics. Macro-F1, Weighted-F1, Subset Accuracy, and Hamming Loss use Fold-9 validation-tuned thresholds. 95% empirical bootstrap confidence intervals derived from 1,000 paired resamples (SEED = 42). Bold indicates the best result for each metric across the four architectures.</w:t>
      </w:r>
    </w:p>
    <w:p>
      <w:pPr>
        <w:sectPr>
          <w:pgSz w:w="15840" w:h="12240" w:orient="landscape"/>
          <w:pgMar w:top="1152" w:right="1152" w:bottom="1152" w:left="1152" w:header="720" w:footer="720" w:gutter="0"/>
          <w:cols w:space="720"/>
          <w:docGrid w:linePitch="360"/>
        </w:sectPr>
      </w:pPr>
    </w:p>
    <w:p>
      <w:pPr>
        <w:spacing w:before="120" w:after="80"/>
        <w:jc w:val="center"/>
      </w:pPr>
      <w:r>
        <w:rPr>
          <w:rFonts w:ascii="Times New Roman" w:hAnsi="Times New Roman"/>
          <w:b/>
          <w:sz w:val="20"/>
        </w:rPr>
        <w:t>TABLE IV. Paired Bootstrap Comparison: ECGResNet-Attention vs. ECGResNet-GAP (Attention − GAP, B = 1,000 resamples, Seed = 42)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Metric</w:t>
            </w:r>
          </w:p>
        </w:tc>
        <w:tc>
          <w:tcPr>
            <w:tcW w:type="dxa" w:w="1512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Difference (Δ)</w:t>
            </w:r>
          </w:p>
        </w:tc>
        <w:tc>
          <w:tcPr>
            <w:tcW w:type="dxa" w:w="1440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95% CI Lower</w:t>
            </w:r>
          </w:p>
        </w:tc>
        <w:tc>
          <w:tcPr>
            <w:tcW w:type="dxa" w:w="1440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95% CI Upper</w:t>
            </w:r>
          </w:p>
        </w:tc>
        <w:tc>
          <w:tcPr>
            <w:tcW w:type="dxa" w:w="1584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P(Attention &gt; GAP)</w:t>
            </w:r>
          </w:p>
        </w:tc>
        <w:tc>
          <w:tcPr>
            <w:tcW w:type="dxa" w:w="1656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Significance</w:t>
            </w:r>
          </w:p>
        </w:tc>
      </w:tr>
      <w:tr>
        <w:tc>
          <w:tcPr>
            <w:tcW w:type="dxa" w:w="172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Macro-AUROC</w:t>
            </w:r>
          </w:p>
        </w:tc>
        <w:tc>
          <w:tcPr>
            <w:tcW w:type="dxa" w:w="151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+0.0110</w:t>
            </w:r>
          </w:p>
        </w:tc>
        <w:tc>
          <w:tcPr>
            <w:tcW w:type="dxa" w:w="14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+0.0070</w:t>
            </w:r>
          </w:p>
        </w:tc>
        <w:tc>
          <w:tcPr>
            <w:tcW w:type="dxa" w:w="14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+0.0152</w:t>
            </w:r>
          </w:p>
        </w:tc>
        <w:tc>
          <w:tcPr>
            <w:tcW w:type="dxa" w:w="1584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100.0%</w:t>
            </w:r>
          </w:p>
        </w:tc>
        <w:tc>
          <w:tcPr>
            <w:tcW w:type="dxa" w:w="1656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Significant (Positive)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Macro-AP</w:t>
            </w:r>
          </w:p>
        </w:tc>
        <w:tc>
          <w:tcPr>
            <w:tcW w:type="dxa" w:w="151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+0.0310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+0.0205</w:t>
            </w:r>
          </w:p>
        </w:tc>
        <w:tc>
          <w:tcPr>
            <w:tcW w:type="dxa" w:w="1440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+0.0420</w:t>
            </w:r>
          </w:p>
        </w:tc>
        <w:tc>
          <w:tcPr>
            <w:tcW w:type="dxa" w:w="1584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100.0%</w:t>
            </w:r>
          </w:p>
        </w:tc>
        <w:tc>
          <w:tcPr>
            <w:tcW w:type="dxa" w:w="1656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Significant (Positive)</w:t>
            </w:r>
          </w:p>
        </w:tc>
      </w:tr>
      <w:tr>
        <w:tc>
          <w:tcPr>
            <w:tcW w:type="dxa" w:w="1728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8"/>
              </w:rPr>
              <w:t>Macro-F1</w:t>
            </w:r>
          </w:p>
        </w:tc>
        <w:tc>
          <w:tcPr>
            <w:tcW w:type="dxa" w:w="151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+0.0144</w:t>
            </w:r>
          </w:p>
        </w:tc>
        <w:tc>
          <w:tcPr>
            <w:tcW w:type="dxa" w:w="14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+0.0032</w:t>
            </w:r>
          </w:p>
        </w:tc>
        <w:tc>
          <w:tcPr>
            <w:tcW w:type="dxa" w:w="1440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+0.0264</w:t>
            </w:r>
          </w:p>
        </w:tc>
        <w:tc>
          <w:tcPr>
            <w:tcW w:type="dxa" w:w="1584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99.6%</w:t>
            </w:r>
          </w:p>
        </w:tc>
        <w:tc>
          <w:tcPr>
            <w:tcW w:type="dxa" w:w="1656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Significant (Positive)</w:t>
            </w:r>
          </w:p>
        </w:tc>
      </w:tr>
    </w:tbl>
    <w:p>
      <w:pPr>
        <w:spacing w:before="80" w:after="160"/>
        <w:jc w:val="left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Paired bootstrap comparison computed on identical patient-aligned Fold-10 test records (N = 2,158) read directly from table_IV_paired_bootstrap.csv. Observed difference (Δ) = ECGResNet-Attention minus ECGResNet-GAP. 95% bootstrap confidence interval derived from 1,000 paired resamples with fixed seed (SEED = 42). P(Attention &gt; GAP) represents the empirical bootstrap probability of superiority. Bold denotes statistically significant improvements where the 95% CI strictly excludes zero.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120" w:after="80"/>
        <w:jc w:val="center"/>
      </w:pPr>
      <w:r>
        <w:rPr>
          <w:rFonts w:ascii="Times New Roman" w:hAnsi="Times New Roman"/>
          <w:b/>
          <w:sz w:val="20"/>
        </w:rPr>
        <w:t>TABLE V. Per-Class Performance Across the Four ECG Architectures (Fold-10, N = 2,158)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1"/>
        <w:gridCol w:w="1231"/>
        <w:gridCol w:w="1231"/>
        <w:gridCol w:w="1231"/>
        <w:gridCol w:w="1231"/>
        <w:gridCol w:w="1231"/>
        <w:gridCol w:w="1231"/>
        <w:gridCol w:w="1231"/>
        <w:gridCol w:w="1231"/>
        <w:gridCol w:w="1231"/>
        <w:gridCol w:w="1231"/>
      </w:tblGrid>
      <w:tr>
        <w:tc>
          <w:tcPr>
            <w:tcW w:type="dxa" w:w="2016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Model</w:t>
            </w:r>
          </w:p>
        </w:tc>
        <w:tc>
          <w:tcPr>
            <w:tcW w:type="dxa" w:w="1152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AUROC</w:t>
              <w:br/>
              <w:t>(NORM)</w:t>
            </w:r>
          </w:p>
        </w:tc>
        <w:tc>
          <w:tcPr>
            <w:tcW w:type="dxa" w:w="1152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AP</w:t>
              <w:br/>
              <w:t>(NORM)</w:t>
            </w:r>
          </w:p>
        </w:tc>
        <w:tc>
          <w:tcPr>
            <w:tcW w:type="dxa" w:w="1152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AUROC</w:t>
              <w:br/>
              <w:t>(STTC)</w:t>
            </w:r>
          </w:p>
        </w:tc>
        <w:tc>
          <w:tcPr>
            <w:tcW w:type="dxa" w:w="1152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AP</w:t>
              <w:br/>
              <w:t>(STTC)</w:t>
            </w:r>
          </w:p>
        </w:tc>
        <w:tc>
          <w:tcPr>
            <w:tcW w:type="dxa" w:w="1152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AUROC</w:t>
              <w:br/>
              <w:t>(CD)</w:t>
            </w:r>
          </w:p>
        </w:tc>
        <w:tc>
          <w:tcPr>
            <w:tcW w:type="dxa" w:w="1152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AP</w:t>
              <w:br/>
              <w:t>(CD)</w:t>
            </w:r>
          </w:p>
        </w:tc>
        <w:tc>
          <w:tcPr>
            <w:tcW w:type="dxa" w:w="1152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AUROC</w:t>
              <w:br/>
              <w:t>(MI)</w:t>
            </w:r>
          </w:p>
        </w:tc>
        <w:tc>
          <w:tcPr>
            <w:tcW w:type="dxa" w:w="1152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AP</w:t>
              <w:br/>
              <w:t>(MI)</w:t>
            </w:r>
          </w:p>
        </w:tc>
        <w:tc>
          <w:tcPr>
            <w:tcW w:type="dxa" w:w="1152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AUROC</w:t>
              <w:br/>
              <w:t>(HYP)</w:t>
            </w:r>
          </w:p>
        </w:tc>
        <w:tc>
          <w:tcPr>
            <w:tcW w:type="dxa" w:w="1152"/>
            <w:vAlign w:val="center"/>
            <w:shd w:val="clear" w:color="auto" w:fill="D9E2F3"/>
            <w:tcBorders>
              <w:bottom w:val="single" w:sz="8" w:space="0" w:color="000000"/>
              <w:top w:val="single" w:sz="8" w:space="0" w:color="000000"/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AP</w:t>
              <w:br/>
              <w:t>(HYP)</w:t>
            </w:r>
          </w:p>
        </w:tc>
      </w:tr>
      <w:tr>
        <w:tc>
          <w:tcPr>
            <w:tcW w:type="dxa" w:w="2016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</w:rPr>
              <w:t>ECGResNet-GAP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0.9316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0.9050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0.9168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0.7793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0.9025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0.8066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0.9151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0.7906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0.7682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0.3854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</w:rPr>
              <w:t>ECGResNet-Attention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0.9408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0.9198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0.9284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0.8226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0.9060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0.8210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0.9190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0.8167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0.7951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0.4417</w:t>
            </w:r>
          </w:p>
        </w:tc>
      </w:tr>
      <w:tr>
        <w:tc>
          <w:tcPr>
            <w:tcW w:type="dxa" w:w="2016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</w:rPr>
              <w:t>XResNet1D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0.9161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0.8815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0.9154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0.7811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0.8990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0.7848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0.8791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0.7563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0.7779</w:t>
            </w:r>
          </w:p>
        </w:tc>
        <w:tc>
          <w:tcPr>
            <w:tcW w:type="dxa" w:w="1152"/>
            <w:vAlign w:val="center"/>
            <w:shd w:val="clear" w:color="auto" w:fill="F2F5FB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0.4342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</w:rPr>
              <w:t>InceptionTime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0.9385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0.9111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0.9276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0.8133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0.9200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0.8433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0.9194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0.8166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0.7899</w:t>
            </w:r>
          </w:p>
        </w:tc>
        <w:tc>
          <w:tcPr>
            <w:tcW w:type="dxa" w:w="1152"/>
            <w:vAlign w:val="center"/>
            <w:shd w:val="clear" w:color="auto" w:fill="FFFFFF"/>
            <w:tcBorders>
              <w:top w:val="single" w:sz="4" w:space="0" w:color="999999"/>
              <w:bottom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0.4337</w:t>
            </w:r>
          </w:p>
        </w:tc>
      </w:tr>
    </w:tbl>
    <w:p>
      <w:pPr>
        <w:spacing w:before="80" w:after="160"/>
        <w:jc w:val="left"/>
      </w:pPr>
      <w:r>
        <w:rPr>
          <w:rFonts w:ascii="Times New Roman" w:hAnsi="Times New Roman"/>
          <w:i/>
          <w:sz w:val="17"/>
        </w:rPr>
        <w:t xml:space="preserve">Note. </w:t>
      </w:r>
      <w:r>
        <w:rPr>
          <w:rFonts w:ascii="Times New Roman" w:hAnsi="Times New Roman"/>
          <w:sz w:val="17"/>
        </w:rPr>
        <w:t>Per-class AUROC and Average Precision (AP) for the 5 diagnostic superclasses on frozen Fold-10 (N = 2,158) read directly from table_V_per_class.csv. Both metrics are threshold-independent. Bold indicates the best result for each diagnostic superclass across architectures. Class positive support: NORM = 963, STTC = 521, CD = 496, MI = 550, HYP = 262.</w:t>
      </w:r>
    </w:p>
    <w:sectPr w:rsidR="00FC693F" w:rsidRPr="0006063C" w:rsidSect="00034616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