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Professional Journey</w:t>
      </w:r>
    </w:p>
    <w:p>
      <w:pPr>
        <w:spacing w:after="240"/>
        <w:jc w:val="center"/>
      </w:pPr>
      <w:r>
        <w:rPr>
          <w:sz w:val="32"/>
          <w:szCs w:val="32"/>
        </w:rPr>
        <w:t xml:space="preserve">Surya Bhan Pratap Singh</w:t>
      </w:r>
    </w:p>
    <w:p>
      <w:pPr>
        <w:spacing w:after="240"/>
        <w:jc w:val="center"/>
      </w:pPr>
      <w:r>
        <w:rPr>
          <w:i/>
          <w:iCs/>
          <w:sz w:val="24"/>
          <w:szCs w:val="24"/>
        </w:rPr>
        <w:t xml:space="preserve">Product Manager — AI, FinTech &amp; Enterprise SaaS</w:t>
      </w:r>
    </w:p>
    <w:p>
      <w:pPr>
        <w:spacing w:after="120" w:before="720"/>
        <w:jc w:val="center"/>
      </w:pPr>
      <w:r>
        <w:rPr>
          <w:sz w:val="22"/>
          <w:szCs w:val="22"/>
        </w:rPr>
        <w:t xml:space="preserve">A detailed account of the product work across</w:t>
      </w:r>
    </w:p>
    <w:p>
      <w:pPr>
        <w:spacing w:after="120"/>
        <w:jc w:val="center"/>
      </w:pPr>
      <w:r>
        <w:rPr>
          <w:sz w:val="22"/>
          <w:szCs w:val="22"/>
        </w:rPr>
        <w:t xml:space="preserve">Rezo.ai · Belzabar Software · AuthBridge</w:t>
      </w:r>
    </w:p>
    <w:p>
      <w:r>
        <w:br w:type="page"/>
      </w:r>
    </w:p>
    <w:p>
      <w:pPr>
        <w:pStyle w:val="Heading1"/>
        <w:spacing w:after="180" w:before="360"/>
      </w:pPr>
      <w:r>
        <w:t xml:space="preserve">Contents</w:t>
      </w:r>
    </w:p>
    <w:p>
      <w:pPr>
        <w:spacing w:after="80"/>
      </w:pPr>
      <w:r>
        <w:t xml:space="preserve">1. Agentic AI Transformation — Rezo.ai</w:t>
      </w:r>
    </w:p>
    <w:p>
      <w:pPr>
        <w:spacing w:after="80"/>
      </w:pPr>
      <w:r>
        <w:t xml:space="preserve">2. Self-Serve Analytics Platform on MCP — Rezo.ai</w:t>
      </w:r>
    </w:p>
    <w:p>
      <w:pPr>
        <w:spacing w:after="80"/>
      </w:pPr>
      <w:r>
        <w:t xml:space="preserve">3. Visual Workflow Orchestration Engine (0-to-1) — Rezo.ai</w:t>
      </w:r>
    </w:p>
    <w:p>
      <w:pPr>
        <w:spacing w:after="80"/>
      </w:pPr>
      <w:r>
        <w:t xml:space="preserve">4. GPT-Vision Document Intelligence — Belzabar Software</w:t>
      </w:r>
    </w:p>
    <w:p>
      <w:pPr>
        <w:spacing w:after="80"/>
      </w:pPr>
      <w:r>
        <w:t xml:space="preserve">5. GROQ-Powered Support Automation — Belzabar Software</w:t>
      </w:r>
    </w:p>
    <w:p>
      <w:pPr>
        <w:spacing w:after="80"/>
      </w:pPr>
      <w:r>
        <w:t xml:space="preserve">6. Swagger-Based API Wrapper Generation — Belzabar Software</w:t>
      </w:r>
    </w:p>
    <w:p>
      <w:pPr>
        <w:spacing w:after="80"/>
      </w:pPr>
      <w:r>
        <w:t xml:space="preserve">7. Account Aggregator APIs — AuthBridge</w:t>
      </w:r>
    </w:p>
    <w:p>
      <w:pPr>
        <w:spacing w:after="80"/>
      </w:pPr>
      <w:r>
        <w:t xml:space="preserve">8. 140+ Microservice API Lifecycle Management — AuthBridge</w:t>
      </w:r>
    </w:p>
    <w:p>
      <w:pPr>
        <w:spacing w:after="80"/>
      </w:pPr>
      <w:r>
        <w:t xml:space="preserve">9. Video KYC UX Redesign — AuthBridge</w:t>
      </w:r>
    </w:p>
    <w:p>
      <w:pPr>
        <w:spacing w:after="80"/>
      </w:pPr>
      <w:r>
        <w:t xml:space="preserve">10. OPUS — Vendor Allocation Engine + Field Agent App — AuthBridge</w:t>
      </w:r>
    </w:p>
    <w:p>
      <w:pPr>
        <w:spacing w:after="80"/>
      </w:pPr>
      <w:r>
        <w:t xml:space="preserve">11. Employment Verification Automation — AuthBridge</w:t>
      </w:r>
    </w:p>
    <w:p>
      <w:pPr>
        <w:spacing w:after="80"/>
      </w:pPr>
      <w:r>
        <w:t xml:space="preserve">12. Verification Source Data Quality Engine — AuthBridge</w:t>
      </w:r>
    </w:p>
    <w:p>
      <w:pPr>
        <w:spacing w:after="80"/>
      </w:pPr>
      <w:r>
        <w:t xml:space="preserve">13. Bridge Workflow Automation — Umbrella Program — AuthBridge</w:t>
      </w:r>
    </w:p>
    <w:p>
      <w:r>
        <w:br w:type="page"/>
      </w:r>
    </w:p>
    <w:p>
      <w:pPr>
        <w:pStyle w:val="Heading1"/>
        <w:spacing w:after="180" w:before="360"/>
      </w:pPr>
      <w:r>
        <w:t xml:space="preserve">1. Agentic AI Transformation</w:t>
      </w:r>
    </w:p>
    <w:p>
      <w:pPr>
        <w:spacing w:after="120"/>
      </w:pPr>
      <w:r>
        <w:rPr>
          <w:i/>
          <w:iCs/>
        </w:rPr>
        <w:t xml:space="preserve">Rezo.ai — Migrating from static flow-based bots to dynamic agentic workflows</w:t>
      </w:r>
    </w:p>
    <w:p>
      <w:pPr>
        <w:spacing w:after="240"/>
      </w:pPr>
      <w:r>
        <w:rPr>
          <w:b/>
          <w:bCs/>
        </w:rPr>
        <w:t xml:space="preserve">Headline: </w:t>
      </w:r>
      <w:r>
        <w:t xml:space="preserve">Reduced system flow dependency from 90% to 40% and drove 30%+ growth in bot-generated enterprise revenue.</w:t>
      </w:r>
    </w:p>
    <w:p>
      <w:pPr>
        <w:pStyle w:val="Heading2"/>
        <w:spacing w:after="120" w:before="240"/>
      </w:pPr>
      <w:r>
        <w:t xml:space="preserve">Where Rezo was before</w:t>
      </w:r>
    </w:p>
    <w:p>
      <w:pPr>
        <w:spacing w:after="160"/>
      </w:pPr>
      <w:r>
        <w:t xml:space="preserve">Rezo's core voice AI product was built on a deterministic flow-builder — every user intent had to be pre-mapped to a node, every response scripted, every API call hard-wired into a path. This worked well in 2022–2023 when enterprises wanted predictable IVR replacements. By 2025, the market had shifted: BFSI, telecom, and D2C clients were comparing Rezo against LLM-native players (Cresta, Observe.ai, PolyAI, Retell, Vapi) where the bot could reason through conversations rather than follow pre-built rails.</w:t>
      </w:r>
    </w:p>
    <w:p>
      <w:pPr>
        <w:spacing w:after="160"/>
      </w:pPr>
      <w:r>
        <w:t xml:space="preserve">The symptoms internally were clear. Onboarding a new enterprise use case took 3–6 weeks because solutions engineers were hand-building flows. Containment rates plateaued around 55–65% — anything off-script went straight to human agents. Renewal conversations were getting harder, with two large accounts having churned in the previous two quarters citing limited flexibility. Sales was losing deals at the demo stage when prospects asked, ‘Can it handle multi-turn reasoning?’</w:t>
      </w:r>
    </w:p>
    <w:p>
      <w:pPr>
        <w:pStyle w:val="Heading2"/>
        <w:spacing w:after="120" w:before="240"/>
      </w:pPr>
      <w:r>
        <w:t xml:space="preserve">Discovery</w:t>
      </w:r>
    </w:p>
    <w:p>
      <w:pPr>
        <w:spacing w:after="160"/>
      </w:pPr>
      <w:r>
        <w:t xml:space="preserve">I ran a structured discovery over the first 4–6 weeks rather than walking in on Day 1 with a predetermined solution.</w:t>
      </w:r>
    </w:p>
    <w:p>
      <w:pPr>
        <w:pStyle w:val="ListParagraph"/>
        <w:numPr>
          <w:ilvl w:val="0"/>
          <w:numId w:val="2"/>
        </w:numPr>
        <w:spacing w:after="80"/>
      </w:pPr>
      <w:r>
        <w:t xml:space="preserve">Account audits: pulled call transcripts from ~30 live deployments across BFSI, telco, and e-commerce. Categorized failure modes — off-script intents, multi-turn context drops, brittle escalation logic, inability to handle clarifying questions.</w:t>
      </w:r>
    </w:p>
    <w:p>
      <w:pPr>
        <w:pStyle w:val="ListParagraph"/>
        <w:numPr>
          <w:ilvl w:val="0"/>
          <w:numId w:val="2"/>
        </w:numPr>
        <w:spacing w:after="80"/>
      </w:pPr>
      <w:r>
        <w:t xml:space="preserve">Stakeholder interviews: 12–15 conversations with CS leads, solutions engineers, sales, and 8 enterprise clients (mix of healthy and at-risk accounts). The common refrain from clients: ‘We don’t want to file a change request every time we add a new product line.’</w:t>
      </w:r>
    </w:p>
    <w:p>
      <w:pPr>
        <w:pStyle w:val="ListParagraph"/>
        <w:numPr>
          <w:ilvl w:val="0"/>
          <w:numId w:val="2"/>
        </w:numPr>
        <w:spacing w:after="80"/>
      </w:pPr>
      <w:r>
        <w:t xml:space="preserve">Competitive benchmarking: sandboxed demos of 4–5 competitors. Identified agentic orchestration plus tool-use as the emerging standard.</w:t>
      </w:r>
    </w:p>
    <w:p>
      <w:pPr>
        <w:pStyle w:val="ListParagraph"/>
        <w:numPr>
          <w:ilvl w:val="0"/>
          <w:numId w:val="2"/>
        </w:numPr>
        <w:spacing w:after="80"/>
      </w:pPr>
      <w:r>
        <w:t xml:space="preserve">Internal cost analysis: worked with eng leadership to estimate that roughly 40–50% of solutions eng bandwidth was going to flow maintenance, not new features.</w:t>
      </w:r>
    </w:p>
    <w:p>
      <w:pPr>
        <w:pStyle w:val="Heading2"/>
        <w:spacing w:after="120" w:before="240"/>
      </w:pPr>
      <w:r>
        <w:t xml:space="preserve">The strategic decision</w:t>
      </w:r>
    </w:p>
    <w:p>
      <w:pPr>
        <w:spacing w:after="160"/>
      </w:pPr>
      <w:r>
        <w:t xml:space="preserve">I did not propose ripping out flows entirely. The pitch to leadership was a hybrid architecture.</w:t>
      </w:r>
    </w:p>
    <w:p>
      <w:pPr>
        <w:pStyle w:val="ListParagraph"/>
        <w:numPr>
          <w:ilvl w:val="0"/>
          <w:numId w:val="2"/>
        </w:numPr>
        <w:spacing w:after="80"/>
      </w:pPr>
      <w:r>
        <w:t xml:space="preserve">Deterministic flow nodes retained for compliance-critical paths — KYC scripts, regulatory disclosures, payment confirmations, anything where regulators or legal demanded exact wording.</w:t>
      </w:r>
    </w:p>
    <w:p>
      <w:pPr>
        <w:pStyle w:val="ListParagraph"/>
        <w:numPr>
          <w:ilvl w:val="0"/>
          <w:numId w:val="2"/>
        </w:numPr>
        <w:spacing w:after="80"/>
      </w:pPr>
      <w:r>
        <w:t xml:space="preserve">Agentic LLM orchestrator for everything else — an LLM that reasons over conversation context and invokes tools from a defined registry (CRM lookups, RAG knowledge retrieval, API calls, escalation triggers, transactional actions).</w:t>
      </w:r>
    </w:p>
    <w:p>
      <w:pPr>
        <w:pStyle w:val="ListParagraph"/>
        <w:numPr>
          <w:ilvl w:val="0"/>
          <w:numId w:val="2"/>
        </w:numPr>
        <w:spacing w:after="80"/>
      </w:pPr>
      <w:r>
        <w:t xml:space="preserve">The 40% floor wasn’t arbitrary — it represented the share of conversation surface that had compliance, legal, or audit requirements where deterministic behavior is non-negotiable.</w:t>
      </w:r>
    </w:p>
    <w:p>
      <w:pPr>
        <w:pStyle w:val="Heading2"/>
        <w:spacing w:after="120" w:before="240"/>
      </w:pPr>
      <w:r>
        <w:t xml:space="preserve">Tradeoffs made explicit to leadership</w:t>
      </w:r>
    </w:p>
    <w:p>
      <w:pPr>
        <w:pStyle w:val="ListParagraph"/>
        <w:numPr>
          <w:ilvl w:val="0"/>
          <w:numId w:val="2"/>
        </w:numPr>
        <w:spacing w:after="80"/>
      </w:pPr>
      <w:r>
        <w:t xml:space="preserve">Higher per-call inference cost (3–5x) in exchange for ~10x faster use-case onboarding and meaningfully better containment.</w:t>
      </w:r>
    </w:p>
    <w:p>
      <w:pPr>
        <w:pStyle w:val="ListParagraph"/>
        <w:numPr>
          <w:ilvl w:val="0"/>
          <w:numId w:val="2"/>
        </w:numPr>
        <w:spacing w:after="80"/>
      </w:pPr>
      <w:r>
        <w:t xml:space="preserve">New failure modes (hallucination, latency variance) traded against the existing failure mode of rigid drop-offs.</w:t>
      </w:r>
    </w:p>
    <w:p>
      <w:pPr>
        <w:pStyle w:val="ListParagraph"/>
        <w:numPr>
          <w:ilvl w:val="0"/>
          <w:numId w:val="2"/>
        </w:numPr>
        <w:spacing w:after="80"/>
      </w:pPr>
      <w:r>
        <w:t xml:space="preserve">Engineering rebuild risk vs the strategic risk of losing the next 3 enterprise renewals.</w:t>
      </w:r>
    </w:p>
    <w:p>
      <w:pPr>
        <w:pStyle w:val="Heading2"/>
        <w:spacing w:after="120" w:before="240"/>
      </w:pPr>
      <w:r>
        <w:t xml:space="preserve">Execution</w:t>
      </w:r>
    </w:p>
    <w:p>
      <w:pPr>
        <w:pStyle w:val="ListParagraph"/>
        <w:numPr>
          <w:ilvl w:val="0"/>
          <w:numId w:val="2"/>
        </w:numPr>
        <w:spacing w:after="80"/>
      </w:pPr>
      <w:r>
        <w:t xml:space="preserve">Phased rollout: pilot cohort of 3 friendly clients first, with a clear exit ramp if metrics didn’t move.</w:t>
      </w:r>
    </w:p>
    <w:p>
      <w:pPr>
        <w:pStyle w:val="ListParagraph"/>
        <w:numPr>
          <w:ilvl w:val="0"/>
          <w:numId w:val="2"/>
        </w:numPr>
        <w:spacing w:after="80"/>
      </w:pPr>
      <w:r>
        <w:t xml:space="preserve">Eval framework: golden dataset of ~2,000 historical conversations with labeled good outcomes. Every prompt or model change had to pass regression on this set before promotion.</w:t>
      </w:r>
    </w:p>
    <w:p>
      <w:pPr>
        <w:pStyle w:val="ListParagraph"/>
        <w:numPr>
          <w:ilvl w:val="0"/>
          <w:numId w:val="2"/>
        </w:numPr>
        <w:spacing w:after="80"/>
      </w:pPr>
      <w:r>
        <w:t xml:space="preserve">Observability: trace-level logging for every agentic decision — which tool was called, what context was retrieved, what the LLM reasoned.</w:t>
      </w:r>
    </w:p>
    <w:p>
      <w:pPr>
        <w:pStyle w:val="ListParagraph"/>
        <w:numPr>
          <w:ilvl w:val="0"/>
          <w:numId w:val="2"/>
        </w:numPr>
        <w:spacing w:after="80"/>
      </w:pPr>
      <w:r>
        <w:t xml:space="preserve">Guardrails: output validation, PII redaction, profanity filters, scoped tool permissions per tenant.</w:t>
      </w:r>
    </w:p>
    <w:p>
      <w:pPr>
        <w:pStyle w:val="ListParagraph"/>
        <w:numPr>
          <w:ilvl w:val="0"/>
          <w:numId w:val="2"/>
        </w:numPr>
        <w:spacing w:after="80"/>
      </w:pPr>
      <w:r>
        <w:t xml:space="preserve">Cross-functional team: AI/ML for orchestration, platform eng for tool registry, solutions eng for migration tooling, CS for client comms, legal for compliance signoff.</w:t>
      </w:r>
    </w:p>
    <w:p>
      <w:pPr>
        <w:pStyle w:val="ListParagraph"/>
        <w:numPr>
          <w:ilvl w:val="0"/>
          <w:numId w:val="2"/>
        </w:numPr>
        <w:spacing w:after="80"/>
      </w:pPr>
      <w:r>
        <w:t xml:space="preserve">Commercial repackaging: worked with sales to reposition pricing — the agentic tier as a premium SKU with a usage-based component.</w:t>
      </w:r>
    </w:p>
    <w:p>
      <w:pPr>
        <w:pStyle w:val="Heading2"/>
        <w:spacing w:after="120" w:before="240"/>
      </w:pPr>
      <w:r>
        <w:t xml:space="preserve">How the 30%+ revenue growth came</w:t>
      </w:r>
    </w:p>
    <w:p>
      <w:pPr>
        <w:pStyle w:val="ListParagraph"/>
        <w:numPr>
          <w:ilvl w:val="0"/>
          <w:numId w:val="2"/>
        </w:numPr>
        <w:spacing w:after="80"/>
      </w:pPr>
      <w:r>
        <w:t xml:space="preserve">Win-rate improvement on new enterprise deals because the demo finally answered the ‘can it reason?’ question.</w:t>
      </w:r>
    </w:p>
    <w:p>
      <w:pPr>
        <w:pStyle w:val="ListParagraph"/>
        <w:numPr>
          <w:ilvl w:val="0"/>
          <w:numId w:val="2"/>
        </w:numPr>
        <w:spacing w:after="80"/>
      </w:pPr>
      <w:r>
        <w:t xml:space="preserve">Expansion revenue — existing clients added use cases faster, so account ACV grew.</w:t>
      </w:r>
    </w:p>
    <w:p>
      <w:pPr>
        <w:pStyle w:val="ListParagraph"/>
        <w:numPr>
          <w:ilvl w:val="0"/>
          <w:numId w:val="2"/>
        </w:numPr>
        <w:spacing w:after="80"/>
      </w:pPr>
      <w:r>
        <w:t xml:space="preserve">Premium tier uptake on the new pricing.</w:t>
      </w:r>
    </w:p>
    <w:p>
      <w:r>
        <w:br w:type="page"/>
      </w:r>
    </w:p>
    <w:p>
      <w:pPr>
        <w:pStyle w:val="Heading1"/>
        <w:spacing w:after="180" w:before="360"/>
      </w:pPr>
      <w:r>
        <w:t xml:space="preserve">2. Self-Serve Analytics Platform on MCP</w:t>
      </w:r>
    </w:p>
    <w:p>
      <w:pPr>
        <w:spacing w:after="120"/>
      </w:pPr>
      <w:r>
        <w:rPr>
          <w:i/>
          <w:iCs/>
        </w:rPr>
        <w:t xml:space="preserve">Rezo.ai — Enterprise-grade conversational analytics dashboard on MCP server infrastructure</w:t>
      </w:r>
    </w:p>
    <w:p>
      <w:pPr>
        <w:spacing w:after="240"/>
      </w:pPr>
      <w:r>
        <w:rPr>
          <w:b/>
          <w:bCs/>
        </w:rPr>
        <w:t xml:space="preserve">Headline: </w:t>
      </w:r>
      <w:r>
        <w:t xml:space="preserve">Eliminated manual reporting cycles and reduced CS reporting escalations by ~70%.</w:t>
      </w:r>
    </w:p>
    <w:p>
      <w:pPr>
        <w:pStyle w:val="Heading2"/>
        <w:spacing w:after="120" w:before="240"/>
      </w:pPr>
      <w:r>
        <w:t xml:space="preserve">The problem</w:t>
      </w:r>
    </w:p>
    <w:p>
      <w:pPr>
        <w:spacing w:after="160"/>
      </w:pPr>
      <w:r>
        <w:t xml:space="preserve">Enterprise clients at Rezo were hungry for analytics — call volume by intent, sentiment trends, agent escalation rates, containment by use case, week-over-week comparisons. Every client wanted slightly different cuts. The existing analytics product was a fixed dashboard with maybe 8–10 pre-built views. Anything outside that meant a Jira ticket to CS, which became a SQL request to the data team, which became a back-and-forth on clarification, which eventually produced a one-off CSV or chart 3–5 business days later.</w:t>
      </w:r>
    </w:p>
    <w:p>
      <w:pPr>
        <w:pStyle w:val="ListParagraph"/>
        <w:numPr>
          <w:ilvl w:val="0"/>
          <w:numId w:val="2"/>
        </w:numPr>
        <w:spacing w:after="80"/>
      </w:pPr>
      <w:r>
        <w:t xml:space="preserve">CS bandwidth: roughly 30–40% of senior CS time was being eaten by reporting requests.</w:t>
      </w:r>
    </w:p>
    <w:p>
      <w:pPr>
        <w:pStyle w:val="ListParagraph"/>
        <w:numPr>
          <w:ilvl w:val="0"/>
          <w:numId w:val="2"/>
        </w:numPr>
        <w:spacing w:after="80"/>
      </w:pPr>
      <w:r>
        <w:t xml:space="preserve">Engineering and data team distraction: 5–10 ad-hoc SQL pulls per week.</w:t>
      </w:r>
    </w:p>
    <w:p>
      <w:pPr>
        <w:pStyle w:val="ListParagraph"/>
        <w:numPr>
          <w:ilvl w:val="0"/>
          <w:numId w:val="2"/>
        </w:numPr>
        <w:spacing w:after="80"/>
      </w:pPr>
      <w:r>
        <w:t xml:space="preserve">Client friction: large enterprise QBRs were getting delayed because the underlying numbers weren’t ready.</w:t>
      </w:r>
    </w:p>
    <w:p>
      <w:pPr>
        <w:pStyle w:val="ListParagraph"/>
        <w:numPr>
          <w:ilvl w:val="0"/>
          <w:numId w:val="2"/>
        </w:numPr>
        <w:spacing w:after="80"/>
      </w:pPr>
      <w:r>
        <w:t xml:space="preserve">Renewal risk: at least two clients flagged reporting flexibility as a gap in renewal conversations.</w:t>
      </w:r>
    </w:p>
    <w:p>
      <w:pPr>
        <w:pStyle w:val="Heading2"/>
        <w:spacing w:after="120" w:before="240"/>
      </w:pPr>
      <w:r>
        <w:t xml:space="preserve">Discovery</w:t>
      </w:r>
    </w:p>
    <w:p>
      <w:pPr>
        <w:pStyle w:val="ListParagraph"/>
        <w:numPr>
          <w:ilvl w:val="0"/>
          <w:numId w:val="2"/>
        </w:numPr>
        <w:spacing w:after="80"/>
      </w:pPr>
      <w:r>
        <w:t xml:space="preserve">Ticket mining: pulled six months of CS tickets. Reporting/analytics requests were #1 by volume and #2 by time-to-resolution.</w:t>
      </w:r>
    </w:p>
    <w:p>
      <w:pPr>
        <w:pStyle w:val="ListParagraph"/>
        <w:numPr>
          <w:ilvl w:val="0"/>
          <w:numId w:val="2"/>
        </w:numPr>
        <w:spacing w:after="80"/>
      </w:pPr>
      <w:r>
        <w:t xml:space="preserve">CS interviews: sat with 4–5 CSMs through actual reporting requests. Average request touched 3 people and took 2.5 days.</w:t>
      </w:r>
    </w:p>
    <w:p>
      <w:pPr>
        <w:pStyle w:val="ListParagraph"/>
        <w:numPr>
          <w:ilvl w:val="0"/>
          <w:numId w:val="2"/>
        </w:numPr>
        <w:spacing w:after="80"/>
      </w:pPr>
      <w:r>
        <w:t xml:space="preserve">Client interviews: 6–8 enterprise client conversations. The pattern: they didn’t want more pre-built dashboards, they wanted to ask questions and get answers.</w:t>
      </w:r>
    </w:p>
    <w:p>
      <w:pPr>
        <w:pStyle w:val="ListParagraph"/>
        <w:numPr>
          <w:ilvl w:val="0"/>
          <w:numId w:val="2"/>
        </w:numPr>
        <w:spacing w:after="80"/>
      </w:pPr>
      <w:r>
        <w:t xml:space="preserve">Competitive scan: studied Observe.ai, Cresta, and BI tools like Looker. The interesting reference point was the emerging pattern of conversational analytics.</w:t>
      </w:r>
    </w:p>
    <w:p>
      <w:pPr>
        <w:pStyle w:val="Heading2"/>
        <w:spacing w:after="120" w:before="240"/>
      </w:pPr>
      <w:r>
        <w:t xml:space="preserve">The strategic decision</w:t>
      </w:r>
    </w:p>
    <w:p>
      <w:pPr>
        <w:spacing w:after="160"/>
      </w:pPr>
      <w:r>
        <w:t xml:space="preserve">I bet on a conversational analytics layer built on MCP (Model Context Protocol) rather than building yet another dashboard builder or licensing a BI tool.</w:t>
      </w:r>
    </w:p>
    <w:p>
      <w:pPr>
        <w:pStyle w:val="ListParagraph"/>
        <w:numPr>
          <w:ilvl w:val="0"/>
          <w:numId w:val="2"/>
        </w:numPr>
        <w:spacing w:after="80"/>
      </w:pPr>
      <w:r>
        <w:t xml:space="preserve">MCP standardizes how an LLM connects to data sources, tools, and context.</w:t>
      </w:r>
    </w:p>
    <w:p>
      <w:pPr>
        <w:pStyle w:val="ListParagraph"/>
        <w:numPr>
          <w:ilvl w:val="0"/>
          <w:numId w:val="2"/>
        </w:numPr>
        <w:spacing w:after="80"/>
      </w:pPr>
      <w:r>
        <w:t xml:space="preserve">Adding a new data source means writing an MCP server for it, not re-prompting the entire system.</w:t>
      </w:r>
    </w:p>
    <w:p>
      <w:pPr>
        <w:pStyle w:val="ListParagraph"/>
        <w:numPr>
          <w:ilvl w:val="0"/>
          <w:numId w:val="2"/>
        </w:numPr>
        <w:spacing w:after="80"/>
      </w:pPr>
      <w:r>
        <w:t xml:space="preserve">It gave a clean separation between the LLM (which reasons over the user’s question) and the data layer (which enforces permissions, schema, query templates).</w:t>
      </w:r>
    </w:p>
    <w:p>
      <w:pPr>
        <w:pStyle w:val="ListParagraph"/>
        <w:numPr>
          <w:ilvl w:val="0"/>
          <w:numId w:val="2"/>
        </w:numPr>
        <w:spacing w:after="80"/>
      </w:pPr>
      <w:r>
        <w:t xml:space="preserve">Multi-tenancy and security live at the MCP server level, where they belong.</w:t>
      </w:r>
    </w:p>
    <w:p>
      <w:pPr>
        <w:pStyle w:val="Heading2"/>
        <w:spacing w:after="120" w:before="240"/>
      </w:pPr>
      <w:r>
        <w:t xml:space="preserve">What I actually built</w:t>
      </w:r>
    </w:p>
    <w:p>
      <w:pPr>
        <w:pStyle w:val="ListParagraph"/>
        <w:numPr>
          <w:ilvl w:val="0"/>
          <w:numId w:val="2"/>
        </w:numPr>
        <w:spacing w:after="80"/>
      </w:pPr>
      <w:r>
        <w:t xml:space="preserve">MCP server layer — exposed tools like get_call_volume, get_sentiment_breakdown, compare_periods, get_agent_performance. Each tool had a schema, parameter validation, and tenant-scoped data access.</w:t>
      </w:r>
    </w:p>
    <w:p>
      <w:pPr>
        <w:pStyle w:val="ListParagraph"/>
        <w:numPr>
          <w:ilvl w:val="0"/>
          <w:numId w:val="2"/>
        </w:numPr>
        <w:spacing w:after="80"/>
      </w:pPr>
      <w:r>
        <w:t xml:space="preserve">LLM orchestration layer — took the user’s natural-language question, decided which MCP tools to invoke, with what parameters, and how to compose the answer.</w:t>
      </w:r>
    </w:p>
    <w:p>
      <w:pPr>
        <w:pStyle w:val="ListParagraph"/>
        <w:numPr>
          <w:ilvl w:val="0"/>
          <w:numId w:val="2"/>
        </w:numPr>
        <w:spacing w:after="80"/>
      </w:pPr>
      <w:r>
        <w:t xml:space="preserve">Front-end — a chat-style interface inside the existing dashboard. User asks ‘show me containment by intent for last week vs the week before,’ gets back a chart with a written explanation and follow-up suggestions.</w:t>
      </w:r>
    </w:p>
    <w:p>
      <w:pPr>
        <w:pStyle w:val="Heading2"/>
        <w:spacing w:after="120" w:before="240"/>
      </w:pPr>
      <w:r>
        <w:t xml:space="preserve">The hard, unsexy work</w:t>
      </w:r>
    </w:p>
    <w:p>
      <w:pPr>
        <w:pStyle w:val="ListParagraph"/>
        <w:numPr>
          <w:ilvl w:val="0"/>
          <w:numId w:val="2"/>
        </w:numPr>
        <w:spacing w:after="80"/>
      </w:pPr>
      <w:r>
        <w:t xml:space="preserve">Schema standardization across tenants — different clients had different data shapes, and MCP tools couldn’t work until the warehouse had a canonical schema. This took longer than the LLM layer did.</w:t>
      </w:r>
    </w:p>
    <w:p>
      <w:pPr>
        <w:pStyle w:val="ListParagraph"/>
        <w:numPr>
          <w:ilvl w:val="0"/>
          <w:numId w:val="2"/>
        </w:numPr>
        <w:spacing w:after="80"/>
      </w:pPr>
      <w:r>
        <w:t xml:space="preserve">Permission and tenant isolation — every MCP tool call had to be scoped to the calling user’s tenant and role. Built into the MCP server, not the LLM prompt.</w:t>
      </w:r>
    </w:p>
    <w:p>
      <w:pPr>
        <w:pStyle w:val="ListParagraph"/>
        <w:numPr>
          <w:ilvl w:val="0"/>
          <w:numId w:val="2"/>
        </w:numPr>
        <w:spacing w:after="80"/>
      </w:pPr>
      <w:r>
        <w:t xml:space="preserve">Defining the tool surface — too few tools and the LLM couldn’t answer enough questions; too many and the LLM got confused. Landed on ~20 tools after iteration.</w:t>
      </w:r>
    </w:p>
    <w:p>
      <w:pPr>
        <w:pStyle w:val="ListParagraph"/>
        <w:numPr>
          <w:ilvl w:val="0"/>
          <w:numId w:val="2"/>
        </w:numPr>
        <w:spacing w:after="80"/>
      </w:pPr>
      <w:r>
        <w:t xml:space="preserve">Eval and trust — every answer cited which tool produced which number, with a ‘view underlying data’ affordance.</w:t>
      </w:r>
    </w:p>
    <w:p>
      <w:pPr>
        <w:pStyle w:val="Heading2"/>
        <w:spacing w:after="120" w:before="240"/>
      </w:pPr>
      <w:r>
        <w:t xml:space="preserve">The outcome</w:t>
      </w:r>
    </w:p>
    <w:p>
      <w:pPr>
        <w:pStyle w:val="ListParagraph"/>
        <w:numPr>
          <w:ilvl w:val="0"/>
          <w:numId w:val="2"/>
        </w:numPr>
        <w:spacing w:after="80"/>
      </w:pPr>
      <w:r>
        <w:t xml:space="preserve">Manual reporting tickets to CS dropped by around 70%.</w:t>
      </w:r>
    </w:p>
    <w:p>
      <w:pPr>
        <w:pStyle w:val="ListParagraph"/>
        <w:numPr>
          <w:ilvl w:val="0"/>
          <w:numId w:val="2"/>
        </w:numPr>
        <w:spacing w:after="80"/>
      </w:pPr>
      <w:r>
        <w:t xml:space="preserve">Engineering ad-hoc data pulls dropped to near zero.</w:t>
      </w:r>
    </w:p>
    <w:p>
      <w:pPr>
        <w:pStyle w:val="ListParagraph"/>
        <w:numPr>
          <w:ilvl w:val="0"/>
          <w:numId w:val="2"/>
        </w:numPr>
        <w:spacing w:after="80"/>
      </w:pPr>
      <w:r>
        <w:t xml:space="preserve">QBR prep time for CSMs dropped from days to hours.</w:t>
      </w:r>
    </w:p>
    <w:p>
      <w:pPr>
        <w:pStyle w:val="ListParagraph"/>
        <w:numPr>
          <w:ilvl w:val="0"/>
          <w:numId w:val="2"/>
        </w:numPr>
        <w:spacing w:after="80"/>
      </w:pPr>
      <w:r>
        <w:t xml:space="preserve">Sales started leading demos with the analytics feature for prospects with strong reporting requirements.</w:t>
      </w:r>
    </w:p>
    <w:p>
      <w:r>
        <w:br w:type="page"/>
      </w:r>
    </w:p>
    <w:p>
      <w:pPr>
        <w:pStyle w:val="Heading1"/>
        <w:spacing w:after="180" w:before="360"/>
      </w:pPr>
      <w:r>
        <w:t xml:space="preserve">3. Visual Workflow Orchestration Engine (0-to-1)</w:t>
      </w:r>
    </w:p>
    <w:p>
      <w:pPr>
        <w:spacing w:after="120"/>
      </w:pPr>
      <w:r>
        <w:rPr>
          <w:i/>
          <w:iCs/>
        </w:rPr>
        <w:t xml:space="preserve">Rezo.ai — No-code visual builder for non-technical enterprise users to author voice AI workflows</w:t>
      </w:r>
    </w:p>
    <w:p>
      <w:pPr>
        <w:spacing w:after="240"/>
      </w:pPr>
      <w:r>
        <w:rPr>
          <w:b/>
          <w:bCs/>
        </w:rPr>
        <w:t xml:space="preserve">Headline: </w:t>
      </w:r>
      <w:r>
        <w:t xml:space="preserve">Cut client-driven change-request volume to solutions engineering and unlocked ~Rs.10L in immediate cost savings.</w:t>
      </w:r>
    </w:p>
    <w:p>
      <w:pPr>
        <w:pStyle w:val="Heading2"/>
        <w:spacing w:after="120" w:before="240"/>
      </w:pPr>
      <w:r>
        <w:t xml:space="preserve">Why I built this alongside the agentic transformation</w:t>
      </w:r>
    </w:p>
    <w:p>
      <w:pPr>
        <w:spacing w:after="160"/>
      </w:pPr>
      <w:r>
        <w:t xml:space="preserve">The agentic transformation solved the capability problem — bots could now reason instead of follow scripts. But it didn’t solve the control problem. Enterprise clients in regulated industries still needed visibility into agent behavior, the ability to constrain decisions, and a way for their own non-technical ops teams to author and modify agent logic without filing tickets with Rezo.</w:t>
      </w:r>
    </w:p>
    <w:p>
      <w:pPr>
        <w:spacing w:after="160"/>
      </w:pPr>
      <w:r>
        <w:t xml:space="preserve">Agentic AI is the engine. The workflow orchestrator is the steering wheel. One enables intelligence, the other enables governance and self-service.</w:t>
      </w:r>
    </w:p>
    <w:p>
      <w:pPr>
        <w:pStyle w:val="Heading2"/>
        <w:spacing w:after="120" w:before="240"/>
      </w:pPr>
      <w:r>
        <w:t xml:space="preserve">The problem</w:t>
      </w:r>
    </w:p>
    <w:p>
      <w:pPr>
        <w:spacing w:after="160"/>
      </w:pPr>
      <w:r>
        <w:t xml:space="preserve">Three distinct user groups had unmet needs.</w:t>
      </w:r>
    </w:p>
    <w:p>
      <w:pPr>
        <w:pStyle w:val="ListParagraph"/>
        <w:numPr>
          <w:ilvl w:val="0"/>
          <w:numId w:val="2"/>
        </w:numPr>
        <w:spacing w:after="80"/>
      </w:pPr>
      <w:r>
        <w:t xml:space="preserve">Enterprise ops users (CS leads, ops managers at client side) wanted to build and modify agent workflows without engineering help. Today they filed tickets for every change with 1–2 week turnaround.</w:t>
      </w:r>
    </w:p>
    <w:p>
      <w:pPr>
        <w:pStyle w:val="ListParagraph"/>
        <w:numPr>
          <w:ilvl w:val="0"/>
          <w:numId w:val="2"/>
        </w:numPr>
        <w:spacing w:after="80"/>
      </w:pPr>
      <w:r>
        <w:t xml:space="preserve">Compliance/risk teams at clients wanted visibility and the ability to constrain agent behavior on regulated paths.</w:t>
      </w:r>
    </w:p>
    <w:p>
      <w:pPr>
        <w:pStyle w:val="ListParagraph"/>
        <w:numPr>
          <w:ilvl w:val="0"/>
          <w:numId w:val="2"/>
        </w:numPr>
        <w:spacing w:after="80"/>
      </w:pPr>
      <w:r>
        <w:t xml:space="preserve">Rezo’s own solutions engineers were drowning in client change requests.</w:t>
      </w:r>
    </w:p>
    <w:p>
      <w:pPr>
        <w:pStyle w:val="Heading2"/>
        <w:spacing w:after="120" w:before="240"/>
      </w:pPr>
      <w:r>
        <w:t xml:space="preserve">Discovery</w:t>
      </w:r>
    </w:p>
    <w:p>
      <w:pPr>
        <w:pStyle w:val="ListParagraph"/>
        <w:numPr>
          <w:ilvl w:val="0"/>
          <w:numId w:val="2"/>
        </w:numPr>
        <w:spacing w:after="80"/>
      </w:pPr>
      <w:r>
        <w:t xml:space="preserve">Shadowed solutions engineers for a week — watched what kinds of client requests came in, how they were implemented, where they got stuck.</w:t>
      </w:r>
    </w:p>
    <w:p>
      <w:pPr>
        <w:pStyle w:val="ListParagraph"/>
        <w:numPr>
          <w:ilvl w:val="0"/>
          <w:numId w:val="2"/>
        </w:numPr>
        <w:spacing w:after="80"/>
      </w:pPr>
      <w:r>
        <w:t xml:space="preserve">Interviewed 6–8 client ops users across three accounts. ~70% of their change requests were combinations of a small set of primitives — ‘if X intent and Y condition, escalate to team Z’ or ‘add this new product to the catalog.’</w:t>
      </w:r>
    </w:p>
    <w:p>
      <w:pPr>
        <w:pStyle w:val="ListParagraph"/>
        <w:numPr>
          <w:ilvl w:val="0"/>
          <w:numId w:val="2"/>
        </w:numPr>
        <w:spacing w:after="80"/>
      </w:pPr>
      <w:r>
        <w:t xml:space="preserve">Studied adjacent products: n8n, Zapier, Retool, LangFlow, Voiceflow, the Salesforce flow builder.</w:t>
      </w:r>
    </w:p>
    <w:p>
      <w:pPr>
        <w:pStyle w:val="Heading2"/>
        <w:spacing w:after="120" w:before="240"/>
      </w:pPr>
      <w:r>
        <w:t xml:space="preserve">The strategic decision</w:t>
      </w:r>
    </w:p>
    <w:p>
      <w:pPr>
        <w:spacing w:after="160"/>
      </w:pPr>
      <w:r>
        <w:t xml:space="preserve">Build a visual node-based canvas where ops users compose agent behaviors from a constrained set of node types — LLM reasoning nodes, tool invocation nodes, conditionals, human handoff, API actions, knowledge lookup, and a few more. Around 15–20 node types in v1.</w:t>
      </w:r>
    </w:p>
    <w:p>
      <w:pPr>
        <w:spacing w:after="160"/>
      </w:pPr>
      <w:r>
        <w:t xml:space="preserve">The critical PM decision was the level of abstraction. Too granular (one node per LLM parameter) and non-technical users get lost. Too high-level (one node per use-case template) and power users can’t customize. We landed in the middle: nodes represented coherent operations, with sensible defaults and an advanced drawer for power users.</w:t>
      </w:r>
    </w:p>
    <w:p>
      <w:pPr>
        <w:pStyle w:val="Heading2"/>
        <w:spacing w:after="120" w:before="240"/>
      </w:pPr>
      <w:r>
        <w:t xml:space="preserve">What I cut from the MVP</w:t>
      </w:r>
    </w:p>
    <w:p>
      <w:pPr>
        <w:pStyle w:val="ListParagraph"/>
        <w:numPr>
          <w:ilvl w:val="0"/>
          <w:numId w:val="2"/>
        </w:numPr>
        <w:spacing w:after="80"/>
      </w:pPr>
      <w:r>
        <w:t xml:space="preserve">Version control beyond simple save history.</w:t>
      </w:r>
    </w:p>
    <w:p>
      <w:pPr>
        <w:pStyle w:val="ListParagraph"/>
        <w:numPr>
          <w:ilvl w:val="0"/>
          <w:numId w:val="2"/>
        </w:numPr>
        <w:spacing w:after="80"/>
      </w:pPr>
      <w:r>
        <w:t xml:space="preserve">Multi-user collaborative editing — single-author with locking only.</w:t>
      </w:r>
    </w:p>
    <w:p>
      <w:pPr>
        <w:pStyle w:val="ListParagraph"/>
        <w:numPr>
          <w:ilvl w:val="0"/>
          <w:numId w:val="2"/>
        </w:numPr>
        <w:spacing w:after="80"/>
      </w:pPr>
      <w:r>
        <w:t xml:space="preserve">A/B testing of workflows.</w:t>
      </w:r>
    </w:p>
    <w:p>
      <w:pPr>
        <w:pStyle w:val="ListParagraph"/>
        <w:numPr>
          <w:ilvl w:val="0"/>
          <w:numId w:val="2"/>
        </w:numPr>
        <w:spacing w:after="80"/>
      </w:pPr>
      <w:r>
        <w:t xml:space="preserve">Custom node creation by clients — kept the node taxonomy controlled in v1.</w:t>
      </w:r>
    </w:p>
    <w:p>
      <w:pPr>
        <w:pStyle w:val="Heading2"/>
        <w:spacing w:after="120" w:before="240"/>
      </w:pPr>
      <w:r>
        <w:t xml:space="preserve">Validation</w:t>
      </w:r>
    </w:p>
    <w:p>
      <w:pPr>
        <w:pStyle w:val="ListParagraph"/>
        <w:numPr>
          <w:ilvl w:val="0"/>
          <w:numId w:val="2"/>
        </w:numPr>
        <w:spacing w:after="80"/>
      </w:pPr>
      <w:r>
        <w:t xml:space="preserve">5 think-aloud sessions with non-technical ops users from three different clients.</w:t>
      </w:r>
    </w:p>
    <w:p>
      <w:pPr>
        <w:pStyle w:val="ListParagraph"/>
        <w:numPr>
          <w:ilvl w:val="0"/>
          <w:numId w:val="2"/>
        </w:numPr>
        <w:spacing w:after="80"/>
      </w:pPr>
      <w:r>
        <w:t xml:space="preserve">Tracked time-to-first-workflow as the activation metric — target was under 30 minutes for someone who’d never seen the tool.</w:t>
      </w:r>
    </w:p>
    <w:p>
      <w:pPr>
        <w:pStyle w:val="ListParagraph"/>
        <w:numPr>
          <w:ilvl w:val="0"/>
          <w:numId w:val="2"/>
        </w:numPr>
        <w:spacing w:after="80"/>
      </w:pPr>
      <w:r>
        <w:t xml:space="preserve">Tracked workflow modification frequency post-launch as the retention proxy.</w:t>
      </w:r>
    </w:p>
    <w:p>
      <w:pPr>
        <w:pStyle w:val="Heading2"/>
        <w:spacing w:after="120" w:before="240"/>
      </w:pPr>
      <w:r>
        <w:t xml:space="preserve">Outcome</w:t>
      </w:r>
    </w:p>
    <w:p>
      <w:pPr>
        <w:pStyle w:val="ListParagraph"/>
        <w:numPr>
          <w:ilvl w:val="0"/>
          <w:numId w:val="2"/>
        </w:numPr>
        <w:spacing w:after="80"/>
      </w:pPr>
      <w:r>
        <w:t xml:space="preserve">The long tail of small-tweak change requests to Rezo’s solutions team went near zero.</w:t>
      </w:r>
    </w:p>
    <w:p>
      <w:pPr>
        <w:pStyle w:val="ListParagraph"/>
        <w:numPr>
          <w:ilvl w:val="0"/>
          <w:numId w:val="2"/>
        </w:numPr>
        <w:spacing w:after="80"/>
      </w:pPr>
      <w:r>
        <w:t xml:space="preserve">Cited as a sales differentiator in 3+ enterprise deals where the prospect’s ops team would be the day-to-day user.</w:t>
      </w:r>
    </w:p>
    <w:p>
      <w:pPr>
        <w:pStyle w:val="ListParagraph"/>
        <w:numPr>
          <w:ilvl w:val="0"/>
          <w:numId w:val="2"/>
        </w:numPr>
        <w:spacing w:after="80"/>
      </w:pPr>
      <w:r>
        <w:t xml:space="preserve">Immediate cost savings of ~Rs.10L from reduced solutions engineering tickets.</w:t>
      </w:r>
    </w:p>
    <w:p>
      <w:r>
        <w:br w:type="page"/>
      </w:r>
    </w:p>
    <w:p>
      <w:pPr>
        <w:pStyle w:val="Heading1"/>
        <w:spacing w:after="180" w:before="360"/>
      </w:pPr>
      <w:r>
        <w:t xml:space="preserve">4. GPT-Vision Document Intelligence</w:t>
      </w:r>
    </w:p>
    <w:p>
      <w:pPr>
        <w:spacing w:after="120"/>
      </w:pPr>
      <w:r>
        <w:rPr>
          <w:i/>
          <w:iCs/>
        </w:rPr>
        <w:t xml:space="preserve">Belzabar Software — Hybrid OCR + GPT-Vision pipeline for enterprise document verification</w:t>
      </w:r>
    </w:p>
    <w:p>
      <w:pPr>
        <w:spacing w:after="240"/>
      </w:pPr>
      <w:r>
        <w:rPr>
          <w:b/>
          <w:bCs/>
        </w:rPr>
        <w:t xml:space="preserve">Headline: </w:t>
      </w:r>
      <w:r>
        <w:t xml:space="preserve">Cut verification TAT by 54% and improved data accuracy by 20%, restoring SLA compliance at scale.</w:t>
      </w:r>
    </w:p>
    <w:p>
      <w:pPr>
        <w:pStyle w:val="Heading2"/>
        <w:spacing w:after="120" w:before="240"/>
      </w:pPr>
      <w:r>
        <w:t xml:space="preserve">The problem</w:t>
      </w:r>
    </w:p>
    <w:p>
      <w:pPr>
        <w:spacing w:after="160"/>
      </w:pPr>
      <w:r>
        <w:t xml:space="preserve">Belzabar’s enterprise clients ran document-heavy workflows — financial services onboarding, KYC, loan applications, insurance claims. Documents arrived in messy real-world shapes: handwritten fields, low-resolution mobile scans, regional language entries, partial occlusions, mixed-format scans where one page was clean and the next was a phone photo at a tilt.</w:t>
      </w:r>
    </w:p>
    <w:p>
      <w:pPr>
        <w:spacing w:after="160"/>
      </w:pPr>
      <w:r>
        <w:t xml:space="preserve">The existing pipeline was traditional OCR feeding rule-based extraction. It worked on the easy 60% of volume but fell off a cliff on the messy 40%, dropping to 65–70% accuracy and routing those cases to a human review queue. Verification TAT was breaching SLAs, the review queue had 24–48 hour backlogs during peaks, and one large client had escalated, threatening contract renegotiation.</w:t>
      </w:r>
    </w:p>
    <w:p>
      <w:pPr>
        <w:pStyle w:val="Heading2"/>
        <w:spacing w:after="120" w:before="240"/>
      </w:pPr>
      <w:r>
        <w:t xml:space="preserve">Discovery</w:t>
      </w:r>
    </w:p>
    <w:p>
      <w:pPr>
        <w:pStyle w:val="ListParagraph"/>
        <w:numPr>
          <w:ilvl w:val="0"/>
          <w:numId w:val="2"/>
        </w:numPr>
        <w:spacing w:after="80"/>
      </w:pPr>
      <w:r>
        <w:t xml:space="preserve">Failure mode analysis: pulled 500 documents that had been routed to human review. ~30% handwriting issues, ~25% low resolution, ~20% non-standard layouts, ~15% language/script, ~10% other.</w:t>
      </w:r>
    </w:p>
    <w:p>
      <w:pPr>
        <w:pStyle w:val="ListParagraph"/>
        <w:numPr>
          <w:ilvl w:val="0"/>
          <w:numId w:val="2"/>
        </w:numPr>
        <w:spacing w:after="80"/>
      </w:pPr>
      <w:r>
        <w:t xml:space="preserve">Existing system audit: the OCR’s confidence scores were available but underutilized — everything below a fixed threshold went to humans without trying any alternative path.</w:t>
      </w:r>
    </w:p>
    <w:p>
      <w:pPr>
        <w:pStyle w:val="ListParagraph"/>
        <w:numPr>
          <w:ilvl w:val="0"/>
          <w:numId w:val="2"/>
        </w:numPr>
        <w:spacing w:after="80"/>
      </w:pPr>
      <w:r>
        <w:t xml:space="preserve">Vendor evaluation: benchmarked GPT-Vision, Claude Vision, Google Document AI, and Azure Form Recognizer against the failure set. GPT-Vision led on handwriting and low-res mobile scans.</w:t>
      </w:r>
    </w:p>
    <w:p>
      <w:pPr>
        <w:pStyle w:val="ListParagraph"/>
        <w:numPr>
          <w:ilvl w:val="0"/>
          <w:numId w:val="2"/>
        </w:numPr>
        <w:spacing w:after="80"/>
      </w:pPr>
      <w:r>
        <w:t xml:space="preserve">Cost modeling: per-document inference cost on GPT-Vision was multiples of OCR cost. The business case required selective routing.</w:t>
      </w:r>
    </w:p>
    <w:p>
      <w:pPr>
        <w:pStyle w:val="Heading2"/>
        <w:spacing w:after="120" w:before="240"/>
      </w:pPr>
      <w:r>
        <w:t xml:space="preserve">The strategic decision</w:t>
      </w:r>
    </w:p>
    <w:p>
      <w:pPr>
        <w:spacing w:after="160"/>
      </w:pPr>
      <w:r>
        <w:t xml:space="preserve">A hybrid pipeline with a confidence-based router, not a wholesale replacement.</w:t>
      </w:r>
    </w:p>
    <w:p>
      <w:pPr>
        <w:pStyle w:val="ListParagraph"/>
        <w:numPr>
          <w:ilvl w:val="0"/>
          <w:numId w:val="2"/>
        </w:numPr>
        <w:spacing w:after="80"/>
      </w:pPr>
      <w:r>
        <w:t xml:space="preserve">Traditional OCR runs first on every document — cheap, fast, accurate on clean cases.</w:t>
      </w:r>
    </w:p>
    <w:p>
      <w:pPr>
        <w:pStyle w:val="ListParagraph"/>
        <w:numPr>
          <w:ilvl w:val="0"/>
          <w:numId w:val="2"/>
        </w:numPr>
        <w:spacing w:after="80"/>
      </w:pPr>
      <w:r>
        <w:t xml:space="preserve">A confidence-scoring layer evaluates the OCR output.</w:t>
      </w:r>
    </w:p>
    <w:p>
      <w:pPr>
        <w:pStyle w:val="ListParagraph"/>
        <w:numPr>
          <w:ilvl w:val="0"/>
          <w:numId w:val="2"/>
        </w:numPr>
        <w:spacing w:after="80"/>
      </w:pPr>
      <w:r>
        <w:t xml:space="preserve">Above a high-confidence threshold — accept and continue.</w:t>
      </w:r>
    </w:p>
    <w:p>
      <w:pPr>
        <w:pStyle w:val="ListParagraph"/>
        <w:numPr>
          <w:ilvl w:val="0"/>
          <w:numId w:val="2"/>
        </w:numPr>
        <w:spacing w:after="80"/>
      </w:pPr>
      <w:r>
        <w:t xml:space="preserve">Below high but above low threshold — route to GPT-Vision as a second pass.</w:t>
      </w:r>
    </w:p>
    <w:p>
      <w:pPr>
        <w:pStyle w:val="ListParagraph"/>
        <w:numPr>
          <w:ilvl w:val="0"/>
          <w:numId w:val="2"/>
        </w:numPr>
        <w:spacing w:after="80"/>
      </w:pPr>
      <w:r>
        <w:t xml:space="preserve">Still ambiguous after GPT-Vision — human review with both outputs shown.</w:t>
      </w:r>
    </w:p>
    <w:p>
      <w:pPr>
        <w:pStyle w:val="Heading2"/>
        <w:spacing w:after="120" w:before="240"/>
      </w:pPr>
      <w:r>
        <w:t xml:space="preserve">What I built</w:t>
      </w:r>
    </w:p>
    <w:p>
      <w:pPr>
        <w:pStyle w:val="ListParagraph"/>
        <w:numPr>
          <w:ilvl w:val="0"/>
          <w:numId w:val="2"/>
        </w:numPr>
        <w:spacing w:after="80"/>
      </w:pPr>
      <w:r>
        <w:t xml:space="preserve">Confidence router that combined OCR confidence, image quality signals, and structural cues to decide routing.</w:t>
      </w:r>
    </w:p>
    <w:p>
      <w:pPr>
        <w:pStyle w:val="ListParagraph"/>
        <w:numPr>
          <w:ilvl w:val="0"/>
          <w:numId w:val="2"/>
        </w:numPr>
        <w:spacing w:after="80"/>
      </w:pPr>
      <w:r>
        <w:t xml:space="preserve">GPT-Vision integration with per-document-type prompts and strict JSON schema output. PAN cards, passports, bank statements, utility bills each had tailored prompts.</w:t>
      </w:r>
    </w:p>
    <w:p>
      <w:pPr>
        <w:pStyle w:val="ListParagraph"/>
        <w:numPr>
          <w:ilvl w:val="0"/>
          <w:numId w:val="2"/>
        </w:numPr>
        <w:spacing w:after="80"/>
      </w:pPr>
      <w:r>
        <w:t xml:space="preserve">Async processing pipeline — GPT-Vision is slower than OCR, so client systems didn’t block.</w:t>
      </w:r>
    </w:p>
    <w:p>
      <w:pPr>
        <w:pStyle w:val="ListParagraph"/>
        <w:numPr>
          <w:ilvl w:val="0"/>
          <w:numId w:val="2"/>
        </w:numPr>
        <w:spacing w:after="80"/>
      </w:pPr>
      <w:r>
        <w:t xml:space="preserve">Eval infrastructure: labeled test set of 2–3K documents. Every prompt or model change ran the full eval before promotion.</w:t>
      </w:r>
    </w:p>
    <w:p>
      <w:pPr>
        <w:pStyle w:val="ListParagraph"/>
        <w:numPr>
          <w:ilvl w:val="0"/>
          <w:numId w:val="2"/>
        </w:numPr>
        <w:spacing w:after="80"/>
      </w:pPr>
      <w:r>
        <w:t xml:space="preserve">PII and compliance handling — negotiated data handling agreements with the LLM provider, built redaction for fields that didn’t need to leave our infrastructure.</w:t>
      </w:r>
    </w:p>
    <w:p>
      <w:pPr>
        <w:pStyle w:val="Heading2"/>
        <w:spacing w:after="120" w:before="240"/>
      </w:pPr>
      <w:r>
        <w:t xml:space="preserve">Hard parts</w:t>
      </w:r>
    </w:p>
    <w:p>
      <w:pPr>
        <w:pStyle w:val="ListParagraph"/>
        <w:numPr>
          <w:ilvl w:val="0"/>
          <w:numId w:val="2"/>
        </w:numPr>
        <w:spacing w:after="80"/>
      </w:pPr>
      <w:r>
        <w:t xml:space="preserve">Prompt engineering for structured output — early versions occasionally hallucinated fields or skipped ones present in the image.</w:t>
      </w:r>
    </w:p>
    <w:p>
      <w:pPr>
        <w:pStyle w:val="ListParagraph"/>
        <w:numPr>
          <w:ilvl w:val="0"/>
          <w:numId w:val="2"/>
        </w:numPr>
        <w:spacing w:after="80"/>
      </w:pPr>
      <w:r>
        <w:t xml:space="preserve">Schema validation and graceful fallback when the LLM returned malformed JSON.</w:t>
      </w:r>
    </w:p>
    <w:p>
      <w:pPr>
        <w:pStyle w:val="ListParagraph"/>
        <w:numPr>
          <w:ilvl w:val="0"/>
          <w:numId w:val="2"/>
        </w:numPr>
        <w:spacing w:after="80"/>
      </w:pPr>
      <w:r>
        <w:t xml:space="preserve">Data residency — one client required processing within India, which required a workaround for that segment.</w:t>
      </w:r>
    </w:p>
    <w:p>
      <w:pPr>
        <w:pStyle w:val="Heading2"/>
        <w:spacing w:after="120" w:before="240"/>
      </w:pPr>
      <w:r>
        <w:t xml:space="preserve">Outcome</w:t>
      </w:r>
    </w:p>
    <w:p>
      <w:pPr>
        <w:pStyle w:val="ListParagraph"/>
        <w:numPr>
          <w:ilvl w:val="0"/>
          <w:numId w:val="2"/>
        </w:numPr>
        <w:spacing w:after="80"/>
      </w:pPr>
      <w:r>
        <w:t xml:space="preserve">TAT down 54% end-to-end (from ~22–24 hours to ~10–11 hours).</w:t>
      </w:r>
    </w:p>
    <w:p>
      <w:pPr>
        <w:pStyle w:val="ListParagraph"/>
        <w:numPr>
          <w:ilvl w:val="0"/>
          <w:numId w:val="2"/>
        </w:numPr>
        <w:spacing w:after="80"/>
      </w:pPr>
      <w:r>
        <w:t xml:space="preserve">Accuracy up 20% on the previously-failing subset.</w:t>
      </w:r>
    </w:p>
    <w:p>
      <w:pPr>
        <w:pStyle w:val="ListParagraph"/>
        <w:numPr>
          <w:ilvl w:val="0"/>
          <w:numId w:val="2"/>
        </w:numPr>
        <w:spacing w:after="80"/>
      </w:pPr>
      <w:r>
        <w:t xml:space="preserve">Human review queue volume shrunk by ~60%.</w:t>
      </w:r>
    </w:p>
    <w:p>
      <w:pPr>
        <w:pStyle w:val="ListParagraph"/>
        <w:numPr>
          <w:ilvl w:val="0"/>
          <w:numId w:val="2"/>
        </w:numPr>
        <w:spacing w:after="80"/>
      </w:pPr>
      <w:r>
        <w:t xml:space="preserve">One previously-escalated enterprise client renewed and expanded.</w:t>
      </w:r>
    </w:p>
    <w:p>
      <w:r>
        <w:br w:type="page"/>
      </w:r>
    </w:p>
    <w:p>
      <w:pPr>
        <w:pStyle w:val="Heading1"/>
        <w:spacing w:after="180" w:before="360"/>
      </w:pPr>
      <w:r>
        <w:t xml:space="preserve">5. GROQ-Powered Support Automation</w:t>
      </w:r>
    </w:p>
    <w:p>
      <w:pPr>
        <w:spacing w:after="120"/>
      </w:pPr>
      <w:r>
        <w:rPr>
          <w:i/>
          <w:iCs/>
        </w:rPr>
        <w:t xml:space="preserve">Belzabar Software — Two-part product: error-message translation and first-level KB resolver</w:t>
      </w:r>
    </w:p>
    <w:p>
      <w:pPr>
        <w:spacing w:after="240"/>
      </w:pPr>
      <w:r>
        <w:rPr>
          <w:b/>
          <w:bCs/>
        </w:rPr>
        <w:t xml:space="preserve">Headline: </w:t>
      </w:r>
      <w:r>
        <w:t xml:space="preserve">Cut engineering sprint disruption from repeat tickets by 28% and shortened RCA on novel issues by ~60 minutes.</w:t>
      </w:r>
    </w:p>
    <w:p>
      <w:pPr>
        <w:pStyle w:val="Heading2"/>
        <w:spacing w:after="120" w:before="240"/>
      </w:pPr>
      <w:r>
        <w:t xml:space="preserve">What it actually is</w:t>
      </w:r>
    </w:p>
    <w:p>
      <w:pPr>
        <w:spacing w:after="160"/>
      </w:pPr>
      <w:r>
        <w:t xml:space="preserve">Two-part product, both using GROQ for fast LLM inference.</w:t>
      </w:r>
    </w:p>
    <w:p>
      <w:pPr>
        <w:spacing w:after="160"/>
      </w:pPr>
      <w:r>
        <w:t xml:space="preserve">Part 1 — Error message translation. Enterprise clients submitted logs (inputs, outputs, error messages) when something broke. Raw logs and stack traces were confusing for client teams. GROQ generated intuitive, actionable error messages that the client team could understand without involving us.</w:t>
      </w:r>
    </w:p>
    <w:p>
      <w:pPr>
        <w:spacing w:after="160"/>
      </w:pPr>
      <w:r>
        <w:t xml:space="preserve">Part 2 — First-level resolver. A growing knowledge base of past issues plus resolutions. When a client submitted logs with their problem description, GROQ first checked the KB and, if it matched a known issue, returned the resolution directly to the client. Only novel issues escalated to engineering.</w:t>
      </w:r>
    </w:p>
    <w:p>
      <w:pPr>
        <w:pStyle w:val="Heading2"/>
        <w:spacing w:after="120" w:before="240"/>
      </w:pPr>
      <w:r>
        <w:t xml:space="preserve">The problem</w:t>
      </w:r>
    </w:p>
    <w:p>
      <w:pPr>
        <w:spacing w:after="160"/>
      </w:pPr>
      <w:r>
        <w:t xml:space="preserve">Belzabar’s enterprise integration work meant client tech teams were constantly hitting issues — auth failures, malformed requests, downstream API errors, edge cases in the document intelligence pipeline. The pattern was: client engineer hits an error, sends a Jira ticket with raw logs, Belzabar support reads the logs, figures it out, replies. Often the same root cause and resolution as a previous ticket.</w:t>
      </w:r>
    </w:p>
    <w:p>
      <w:pPr>
        <w:spacing w:after="160"/>
      </w:pPr>
      <w:r>
        <w:t xml:space="preserve">This cost both sides. Client engineers waited hours for replies on what often turned out to be misconfiguration. Belzabar engineers got pulled out of their sprints to handle repeat issues.</w:t>
      </w:r>
    </w:p>
    <w:p>
      <w:pPr>
        <w:pStyle w:val="Heading2"/>
        <w:spacing w:after="120" w:before="240"/>
      </w:pPr>
      <w:r>
        <w:t xml:space="preserve">Discovery</w:t>
      </w:r>
    </w:p>
    <w:p>
      <w:pPr>
        <w:pStyle w:val="ListParagraph"/>
        <w:numPr>
          <w:ilvl w:val="0"/>
          <w:numId w:val="2"/>
        </w:numPr>
        <w:spacing w:after="80"/>
      </w:pPr>
      <w:r>
        <w:t xml:space="preserve">Ticket analysis: pulled 3 months of support tickets. ~30–40% were either repeat issues or trivially-diagnosable issues that just looked confusing because of unhelpful error messages.</w:t>
      </w:r>
    </w:p>
    <w:p>
      <w:pPr>
        <w:pStyle w:val="ListParagraph"/>
        <w:numPr>
          <w:ilvl w:val="0"/>
          <w:numId w:val="2"/>
        </w:numPr>
        <w:spacing w:after="80"/>
      </w:pPr>
      <w:r>
        <w:t xml:space="preserve">Client engineer interviews: dominant complaint was ‘your error messages don’t tell us what’s actually wrong.’</w:t>
      </w:r>
    </w:p>
    <w:p>
      <w:pPr>
        <w:pStyle w:val="ListParagraph"/>
        <w:numPr>
          <w:ilvl w:val="0"/>
          <w:numId w:val="2"/>
        </w:numPr>
        <w:spacing w:after="80"/>
      </w:pPr>
      <w:r>
        <w:t xml:space="preserve">Engineering interviews: frustration with sprint disruption from work that wasn’t really engineering work.</w:t>
      </w:r>
    </w:p>
    <w:p>
      <w:pPr>
        <w:pStyle w:val="Heading2"/>
        <w:spacing w:after="120" w:before="240"/>
      </w:pPr>
      <w:r>
        <w:t xml:space="preserve">Why GROQ specifically</w:t>
      </w:r>
    </w:p>
    <w:p>
      <w:pPr>
        <w:spacing w:after="160"/>
      </w:pPr>
      <w:r>
        <w:t xml:space="preserve">Speed. GROQ’s inference latency made it viable to embed in a synchronous support flow — client submits issue, gets first-pass answer in seconds. Frontier models would have been slower and more expensive per query for what was a high-volume, modest-complexity task. Quality at the model sizes GROQ served was sufficient.</w:t>
      </w:r>
    </w:p>
    <w:p>
      <w:pPr>
        <w:pStyle w:val="Heading2"/>
        <w:spacing w:after="120" w:before="240"/>
      </w:pPr>
      <w:r>
        <w:t xml:space="preserve">What I built</w:t>
      </w:r>
    </w:p>
    <w:p>
      <w:pPr>
        <w:pStyle w:val="ListParagraph"/>
        <w:numPr>
          <w:ilvl w:val="0"/>
          <w:numId w:val="2"/>
        </w:numPr>
        <w:spacing w:after="80"/>
      </w:pPr>
      <w:r>
        <w:t xml:space="preserve">Error message translator: LLM takes raw input/output/error from the logs and produces a structured, client-readable explanation — what happened, what likely caused it, what to check. Tuned with examples specific to Belzabar’s API surface.</w:t>
      </w:r>
    </w:p>
    <w:p>
      <w:pPr>
        <w:pStyle w:val="ListParagraph"/>
        <w:numPr>
          <w:ilvl w:val="0"/>
          <w:numId w:val="2"/>
        </w:numPr>
        <w:spacing w:after="80"/>
      </w:pPr>
      <w:r>
        <w:t xml:space="preserve">Knowledge base: structured as (symptom signature, root cause, resolution). Continuously updated — every novel issue’s resolution got captured.</w:t>
      </w:r>
    </w:p>
    <w:p>
      <w:pPr>
        <w:pStyle w:val="ListParagraph"/>
        <w:numPr>
          <w:ilvl w:val="0"/>
          <w:numId w:val="2"/>
        </w:numPr>
        <w:spacing w:after="80"/>
      </w:pPr>
      <w:r>
        <w:t xml:space="preserve">First-level resolver: LLM compares incoming ticket symptoms against the KB. High-confidence match returns the resolution directly; low confidence escalates to engineering.</w:t>
      </w:r>
    </w:p>
    <w:p>
      <w:pPr>
        <w:pStyle w:val="Heading2"/>
        <w:spacing w:after="120" w:before="240"/>
      </w:pPr>
      <w:r>
        <w:t xml:space="preserve">Hard parts</w:t>
      </w:r>
    </w:p>
    <w:p>
      <w:pPr>
        <w:pStyle w:val="ListParagraph"/>
        <w:numPr>
          <w:ilvl w:val="0"/>
          <w:numId w:val="2"/>
        </w:numPr>
        <w:spacing w:after="80"/>
      </w:pPr>
      <w:r>
        <w:t xml:space="preserve">KB quality: only as good as what’s in it. Made structured KB writeups part of every escalated ticket’s post-mortem.</w:t>
      </w:r>
    </w:p>
    <w:p>
      <w:pPr>
        <w:pStyle w:val="ListParagraph"/>
        <w:numPr>
          <w:ilvl w:val="0"/>
          <w:numId w:val="2"/>
        </w:numPr>
        <w:spacing w:after="80"/>
      </w:pPr>
      <w:r>
        <w:t xml:space="preserve">False matches: an LLM matching symptom signatures could over-confidently return wrong resolutions. Tuned conservatively — high precision over high recall.</w:t>
      </w:r>
    </w:p>
    <w:p>
      <w:pPr>
        <w:pStyle w:val="ListParagraph"/>
        <w:numPr>
          <w:ilvl w:val="0"/>
          <w:numId w:val="2"/>
        </w:numPr>
        <w:spacing w:after="80"/>
      </w:pPr>
      <w:r>
        <w:t xml:space="preserve">Confidence calibration: required the LLM to give explicit reasoning about whether a new ticket genuinely matched a KB entry.</w:t>
      </w:r>
    </w:p>
    <w:p>
      <w:pPr>
        <w:pStyle w:val="Heading2"/>
        <w:spacing w:after="120" w:before="240"/>
      </w:pPr>
      <w:r>
        <w:t xml:space="preserve">Outcome</w:t>
      </w:r>
    </w:p>
    <w:p>
      <w:pPr>
        <w:pStyle w:val="ListParagraph"/>
        <w:numPr>
          <w:ilvl w:val="0"/>
          <w:numId w:val="2"/>
        </w:numPr>
        <w:spacing w:after="80"/>
      </w:pPr>
      <w:r>
        <w:t xml:space="preserve">~28% reduction in repeat tickets escalating to engineering.</w:t>
      </w:r>
    </w:p>
    <w:p>
      <w:pPr>
        <w:pStyle w:val="ListParagraph"/>
        <w:numPr>
          <w:ilvl w:val="0"/>
          <w:numId w:val="2"/>
        </w:numPr>
        <w:spacing w:after="80"/>
      </w:pPr>
      <w:r>
        <w:t xml:space="preserve">RCA time on novel issues dropped by up to 60 minutes because the LLM-generated initial analysis gave engineers a head start.</w:t>
      </w:r>
    </w:p>
    <w:p>
      <w:pPr>
        <w:pStyle w:val="ListParagraph"/>
        <w:numPr>
          <w:ilvl w:val="0"/>
          <w:numId w:val="2"/>
        </w:numPr>
        <w:spacing w:after="80"/>
      </w:pPr>
      <w:r>
        <w:t xml:space="preserve">Engineering sprint disruption noticeably reduced.</w:t>
      </w:r>
    </w:p>
    <w:p>
      <w:pPr>
        <w:pStyle w:val="ListParagraph"/>
        <w:numPr>
          <w:ilvl w:val="0"/>
          <w:numId w:val="2"/>
        </w:numPr>
        <w:spacing w:after="80"/>
      </w:pPr>
      <w:r>
        <w:t xml:space="preserve">Client engineer satisfaction improved through faster self-resolution.</w:t>
      </w:r>
    </w:p>
    <w:p>
      <w:r>
        <w:br w:type="page"/>
      </w:r>
    </w:p>
    <w:p>
      <w:pPr>
        <w:pStyle w:val="Heading1"/>
        <w:spacing w:after="180" w:before="360"/>
      </w:pPr>
      <w:r>
        <w:t xml:space="preserve">6. Swagger-Based API Wrapper Generation</w:t>
      </w:r>
    </w:p>
    <w:p>
      <w:pPr>
        <w:spacing w:after="120"/>
      </w:pPr>
      <w:r>
        <w:rPr>
          <w:i/>
          <w:iCs/>
        </w:rPr>
        <w:t xml:space="preserve">Belzabar Software — Auto-generate wrapper code, test cases, and documentation from OpenAPI specs</w:t>
      </w:r>
    </w:p>
    <w:p>
      <w:pPr>
        <w:spacing w:after="240"/>
      </w:pPr>
      <w:r>
        <w:rPr>
          <w:b/>
          <w:bCs/>
        </w:rPr>
        <w:t xml:space="preserve">Headline: </w:t>
      </w:r>
      <w:r>
        <w:t xml:space="preserve">Cut per-API integration time by 75% and standardized release quality across the backend team.</w:t>
      </w:r>
    </w:p>
    <w:p>
      <w:pPr>
        <w:pStyle w:val="Heading2"/>
        <w:spacing w:after="120" w:before="240"/>
      </w:pPr>
      <w:r>
        <w:t xml:space="preserve">What it actually is</w:t>
      </w:r>
    </w:p>
    <w:p>
      <w:pPr>
        <w:spacing w:after="160"/>
      </w:pPr>
      <w:r>
        <w:t xml:space="preserve">Belzabar exposes wrapped versions of third-party APIs (Google, Microsoft, others) to clients — clients don’t integrate with those third parties directly, they use Belzabar’s wrapper. Pre-automation, the engineering team wrote each wrapper method by hand — code, test cases, documentation.</w:t>
      </w:r>
    </w:p>
    <w:p>
      <w:pPr>
        <w:spacing w:after="160"/>
      </w:pPr>
      <w:r>
        <w:t xml:space="preserve">I built tooling that took an OpenAPI/Swagger spec as input (headers, request/response structure, auth model) and auto-generated the wrapper code, test cases for QA, and client-facing documentation.</w:t>
      </w:r>
    </w:p>
    <w:p>
      <w:pPr>
        <w:pStyle w:val="Heading2"/>
        <w:spacing w:after="120" w:before="240"/>
      </w:pPr>
      <w:r>
        <w:t xml:space="preserve">The problem</w:t>
      </w:r>
    </w:p>
    <w:p>
      <w:pPr>
        <w:spacing w:after="160"/>
      </w:pPr>
      <w:r>
        <w:t xml:space="preserve">Each new third-party endpoint we exposed cost 1–3 days of human effort — wrapper code, QA tests, documentation, review cycle. Quality varied with who did the work. Belzabar’s value prop depended on breadth of integrations, so the slow pace of wrapper development was a competitive issue.</w:t>
      </w:r>
    </w:p>
    <w:p>
      <w:pPr>
        <w:pStyle w:val="Heading2"/>
        <w:spacing w:after="120" w:before="240"/>
      </w:pPr>
      <w:r>
        <w:t xml:space="preserve">Discovery</w:t>
      </w:r>
    </w:p>
    <w:p>
      <w:pPr>
        <w:pStyle w:val="ListParagraph"/>
        <w:numPr>
          <w:ilvl w:val="0"/>
          <w:numId w:val="2"/>
        </w:numPr>
        <w:spacing w:after="80"/>
      </w:pPr>
      <w:r>
        <w:t xml:space="preserve">Wrapper code audit: read through 20+ existing wrappers. ~80% of the code was structurally identical — auth setup, request formatting, response normalization, error handling, logging. Only ~20% was endpoint-specific logic.</w:t>
      </w:r>
    </w:p>
    <w:p>
      <w:pPr>
        <w:pStyle w:val="ListParagraph"/>
        <w:numPr>
          <w:ilvl w:val="0"/>
          <w:numId w:val="2"/>
        </w:numPr>
        <w:spacing w:after="80"/>
      </w:pPr>
      <w:r>
        <w:t xml:space="preserve">Test case audit: most test cases followed a template (happy path, common error codes, auth failure, timeout, malformed input). Auto-generatable from the spec.</w:t>
      </w:r>
    </w:p>
    <w:p>
      <w:pPr>
        <w:pStyle w:val="ListParagraph"/>
        <w:numPr>
          <w:ilvl w:val="0"/>
          <w:numId w:val="2"/>
        </w:numPr>
        <w:spacing w:after="80"/>
      </w:pPr>
      <w:r>
        <w:t xml:space="preserve">Documentation audit: structurally repetitive — endpoint description, request format, response format, error codes, example calls.</w:t>
      </w:r>
    </w:p>
    <w:p>
      <w:pPr>
        <w:pStyle w:val="Heading2"/>
        <w:spacing w:after="120" w:before="240"/>
      </w:pPr>
      <w:r>
        <w:t xml:space="preserve">Decisions</w:t>
      </w:r>
    </w:p>
    <w:p>
      <w:pPr>
        <w:spacing w:after="160"/>
      </w:pPr>
      <w:r>
        <w:t xml:space="preserve">Input contract: the pipeline took an OpenAPI/Swagger spec as input. This worked because most third-party providers publish OpenAPI specs, and where they didn’t, an engineer could quickly write a partial spec for the endpoints we cared about.</w:t>
      </w:r>
    </w:p>
    <w:p>
      <w:pPr>
        <w:pStyle w:val="ListParagraph"/>
        <w:numPr>
          <w:ilvl w:val="0"/>
          <w:numId w:val="2"/>
        </w:numPr>
        <w:spacing w:after="80"/>
      </w:pPr>
      <w:r>
        <w:t xml:space="preserve">What got auto-generated: wrapper code skeleton (auth, request/response shape, error handling, logging); test cases (happy path, validation, auth failures, edge cases from spec constraints); documentation (endpoint description, request/response examples, error code reference).</w:t>
      </w:r>
    </w:p>
    <w:p>
      <w:pPr>
        <w:pStyle w:val="ListParagraph"/>
        <w:numPr>
          <w:ilvl w:val="0"/>
          <w:numId w:val="2"/>
        </w:numPr>
        <w:spacing w:after="80"/>
      </w:pPr>
      <w:r>
        <w:t xml:space="preserve">Where humans stayed: endpoint-specific business logic, edge-case tests the spec couldn’t auto-detect, documentation polish for client-facing clarity.</w:t>
      </w:r>
    </w:p>
    <w:p>
      <w:pPr>
        <w:pStyle w:val="Heading2"/>
        <w:spacing w:after="120" w:before="240"/>
      </w:pPr>
      <w:r>
        <w:t xml:space="preserve">Hard parts</w:t>
      </w:r>
    </w:p>
    <w:p>
      <w:pPr>
        <w:pStyle w:val="ListParagraph"/>
        <w:numPr>
          <w:ilvl w:val="0"/>
          <w:numId w:val="2"/>
        </w:numPr>
        <w:spacing w:after="80"/>
      </w:pPr>
      <w:r>
        <w:t xml:space="preserve">Spec quality variability — some third-party specs were great, some were partial or outdated. The pipeline had to handle missing fields gracefully.</w:t>
      </w:r>
    </w:p>
    <w:p>
      <w:pPr>
        <w:pStyle w:val="ListParagraph"/>
        <w:numPr>
          <w:ilvl w:val="0"/>
          <w:numId w:val="2"/>
        </w:numPr>
        <w:spacing w:after="80"/>
      </w:pPr>
      <w:r>
        <w:t xml:space="preserve">Custom transformations — a small number of wrappers needed real business logic. We didn’t try to auto-generate those; the pipeline produced a scaffold with clear human-work markers.</w:t>
      </w:r>
    </w:p>
    <w:p>
      <w:pPr>
        <w:pStyle w:val="ListParagraph"/>
        <w:numPr>
          <w:ilvl w:val="0"/>
          <w:numId w:val="2"/>
        </w:numPr>
        <w:spacing w:after="80"/>
      </w:pPr>
      <w:r>
        <w:t xml:space="preserve">Adoption — engineering teams have to trust auto-generated code. Made it inspectable, formatted to the team’s style guide, ran through the same review process.</w:t>
      </w:r>
    </w:p>
    <w:p>
      <w:pPr>
        <w:pStyle w:val="Heading2"/>
        <w:spacing w:after="120" w:before="240"/>
      </w:pPr>
      <w:r>
        <w:t xml:space="preserve">Outcome</w:t>
      </w:r>
    </w:p>
    <w:p>
      <w:pPr>
        <w:pStyle w:val="ListParagraph"/>
        <w:numPr>
          <w:ilvl w:val="0"/>
          <w:numId w:val="2"/>
        </w:numPr>
        <w:spacing w:after="80"/>
      </w:pPr>
      <w:r>
        <w:t xml:space="preserve">Per-API integration time dropped by ~75%.</w:t>
      </w:r>
    </w:p>
    <w:p>
      <w:pPr>
        <w:pStyle w:val="ListParagraph"/>
        <w:numPr>
          <w:ilvl w:val="0"/>
          <w:numId w:val="2"/>
        </w:numPr>
        <w:spacing w:after="80"/>
      </w:pPr>
      <w:r>
        <w:t xml:space="preserve">Test coverage went up — auto-generated tests were comprehensive on standard scenarios that humans had skipped under time pressure.</w:t>
      </w:r>
    </w:p>
    <w:p>
      <w:pPr>
        <w:pStyle w:val="ListParagraph"/>
        <w:numPr>
          <w:ilvl w:val="0"/>
          <w:numId w:val="2"/>
        </w:numPr>
        <w:spacing w:after="80"/>
      </w:pPr>
      <w:r>
        <w:t xml:space="preserve">Documentation quality and consistency went up.</w:t>
      </w:r>
    </w:p>
    <w:p>
      <w:pPr>
        <w:pStyle w:val="ListParagraph"/>
        <w:numPr>
          <w:ilvl w:val="0"/>
          <w:numId w:val="2"/>
        </w:numPr>
        <w:spacing w:after="80"/>
      </w:pPr>
      <w:r>
        <w:t xml:space="preserve">Engineering capacity freed for higher-leverage work; release cadence on new integrations increased.</w:t>
      </w:r>
    </w:p>
    <w:p>
      <w:r>
        <w:br w:type="page"/>
      </w:r>
    </w:p>
    <w:p>
      <w:pPr>
        <w:pStyle w:val="Heading1"/>
        <w:spacing w:after="180" w:before="360"/>
      </w:pPr>
      <w:r>
        <w:t xml:space="preserve">7. Account Aggregator APIs</w:t>
      </w:r>
    </w:p>
    <w:p>
      <w:pPr>
        <w:spacing w:after="120"/>
      </w:pPr>
      <w:r>
        <w:rPr>
          <w:i/>
          <w:iCs/>
        </w:rPr>
        <w:t xml:space="preserve">AuthBridge — Launched AA-framework APIs for NBFC partners, captured the mid-tier segment first</w:t>
      </w:r>
    </w:p>
    <w:p>
      <w:pPr>
        <w:spacing w:after="240"/>
      </w:pPr>
      <w:r>
        <w:rPr>
          <w:b/>
          <w:bCs/>
        </w:rPr>
        <w:t xml:space="preserve">Headline: </w:t>
      </w:r>
      <w:r>
        <w:t xml:space="preserve">Scaled monthly loan disbursements to Rs.1.5 Cr in first launch cycle; Rs.50L/month revenue uplift within two quarters.</w:t>
      </w:r>
    </w:p>
    <w:p>
      <w:pPr>
        <w:pStyle w:val="Heading2"/>
        <w:spacing w:after="120" w:before="240"/>
      </w:pPr>
      <w:r>
        <w:t xml:space="preserve">The context</w:t>
      </w:r>
    </w:p>
    <w:p>
      <w:pPr>
        <w:spacing w:after="160"/>
      </w:pPr>
      <w:r>
        <w:t xml:space="preserve">India’s Account Aggregator framework was an RBI-regulated, consent-based financial data sharing system. By 2022–23 it was operational but nascent — most banks were live as Financial Information Providers, licensed AAs (Sahamati network) were available, and the regulatory framework had matured enough to build on. Adoption was uneven. Large banks and NBFCs were experimenting; mid-tier NBFCs were watching from the sidelines because integration cost and uncertainty were high.</w:t>
      </w:r>
    </w:p>
    <w:p>
      <w:pPr>
        <w:spacing w:after="160"/>
      </w:pPr>
      <w:r>
        <w:t xml:space="preserve">AuthBridge had a strong existing position in identity verification (KYC, video KYC, document verification) serving NBFCs and financial services. AA was adjacent — same buyer (NBFC head of credit / head of digital), same procurement motion, different problem (financial data for underwriting rather than identity).</w:t>
      </w:r>
    </w:p>
    <w:p>
      <w:pPr>
        <w:pStyle w:val="Heading2"/>
        <w:spacing w:after="120" w:before="240"/>
      </w:pPr>
      <w:r>
        <w:t xml:space="preserve">The opportunity</w:t>
      </w:r>
    </w:p>
    <w:p>
      <w:pPr>
        <w:spacing w:after="160"/>
      </w:pPr>
      <w:r>
        <w:t xml:space="preserve">NBFCs doing personal and MSME loans were spending 3–7 days collecting bank statements from applicants — PDF uploads, screen-sharing, sometimes branch visits. AA could collapse this to minutes with regulator-approved data flows and stronger fraud resistance. The catch: integration was non-trivial. NBFCs either built to ReBIT specs themselves or worked with a TSP.</w:t>
      </w:r>
    </w:p>
    <w:p>
      <w:pPr>
        <w:spacing w:after="160"/>
      </w:pPr>
      <w:r>
        <w:t xml:space="preserve">AuthBridge could be the TSP. Existing NBFC relationships, verification rails, and procurement trust meant we could go to market faster than a greenfield competitor.</w:t>
      </w:r>
    </w:p>
    <w:p>
      <w:pPr>
        <w:pStyle w:val="Heading2"/>
        <w:spacing w:after="120" w:before="240"/>
      </w:pPr>
      <w:r>
        <w:t xml:space="preserve">Segmentation — the critical PM call</w:t>
      </w:r>
    </w:p>
    <w:p>
      <w:pPr>
        <w:spacing w:after="160"/>
      </w:pPr>
      <w:r>
        <w:t xml:space="preserve">I segmented NBFCs on two axes: loan ticket size (micro under Rs.50K / mid Rs.50K–5L / large Rs.5L+) and tech maturity (in-house / partial outsourcing / fully outsourced).</w:t>
      </w:r>
    </w:p>
    <w:p>
      <w:pPr>
        <w:pStyle w:val="ListParagraph"/>
        <w:numPr>
          <w:ilvl w:val="0"/>
          <w:numId w:val="2"/>
        </w:numPr>
        <w:spacing w:after="80"/>
      </w:pPr>
      <w:r>
        <w:t xml:space="preserve">Large incumbents (HDFC, Bajaj etc.): high tech, likely to build in-house or partner with bigger TSPs. Not our wedge.</w:t>
      </w:r>
    </w:p>
    <w:p>
      <w:pPr>
        <w:pStyle w:val="ListParagraph"/>
        <w:numPr>
          <w:ilvl w:val="0"/>
          <w:numId w:val="2"/>
        </w:numPr>
        <w:spacing w:after="80"/>
      </w:pPr>
      <w:r>
        <w:t xml:space="preserve">Tiny NBFCs and microfinance: small ticket sizes, limited tech. AA economics didn’t work — per-fetch costs too high relative to loan revenue.</w:t>
      </w:r>
    </w:p>
    <w:p>
      <w:pPr>
        <w:pStyle w:val="ListParagraph"/>
        <w:numPr>
          <w:ilvl w:val="0"/>
          <w:numId w:val="2"/>
        </w:numPr>
        <w:spacing w:after="80"/>
      </w:pPr>
      <w:r>
        <w:t xml:space="preserve">Mid-tier NBFCs doing personal and MSME loans (Rs.50K–5L): high enough ticket size to absorb AA costs, weak enough tech that they needed a TSP, large enough portfolios to drive meaningful revenue. The wedge.</w:t>
      </w:r>
    </w:p>
    <w:p>
      <w:pPr>
        <w:pStyle w:val="Heading2"/>
        <w:spacing w:after="120" w:before="240"/>
      </w:pPr>
      <w:r>
        <w:t xml:space="preserve">Execution</w:t>
      </w:r>
    </w:p>
    <w:p>
      <w:pPr>
        <w:pStyle w:val="ListParagraph"/>
        <w:numPr>
          <w:ilvl w:val="0"/>
          <w:numId w:val="2"/>
        </w:numPr>
        <w:spacing w:after="80"/>
      </w:pPr>
      <w:r>
        <w:t xml:space="preserve">Partnership-first GTM: integrated with 2–3 licensed AAs in the Sahamati network. Built consent management flows to ReBIT specs.</w:t>
      </w:r>
    </w:p>
    <w:p>
      <w:pPr>
        <w:pStyle w:val="ListParagraph"/>
        <w:numPr>
          <w:ilvl w:val="0"/>
          <w:numId w:val="2"/>
        </w:numPr>
        <w:spacing w:after="80"/>
      </w:pPr>
      <w:r>
        <w:t xml:space="preserve">NBFC-facing API: wrapped the AA integration behind a clean REST API so NBFC tech teams could integrate in days, not months. Included consent artifact handling, data parsing, and credit-decisioning-ready output formats.</w:t>
      </w:r>
    </w:p>
    <w:p>
      <w:pPr>
        <w:pStyle w:val="ListParagraph"/>
        <w:numPr>
          <w:ilvl w:val="0"/>
          <w:numId w:val="2"/>
        </w:numPr>
        <w:spacing w:after="80"/>
      </w:pPr>
      <w:r>
        <w:t xml:space="preserve">Pricing: per-successful-fetch with volume tiers. Avoided subscription because NBFCs were still validating their AA-driven underwriting funnels.</w:t>
      </w:r>
    </w:p>
    <w:p>
      <w:pPr>
        <w:pStyle w:val="ListParagraph"/>
        <w:numPr>
          <w:ilvl w:val="0"/>
          <w:numId w:val="2"/>
        </w:numPr>
        <w:spacing w:after="80"/>
      </w:pPr>
      <w:r>
        <w:t xml:space="preserve">Sales enablement: collateral, joint demos with reference clients, co-pitched in 8–10 NBFC opportunities directly.</w:t>
      </w:r>
    </w:p>
    <w:p>
      <w:pPr>
        <w:pStyle w:val="ListParagraph"/>
        <w:numPr>
          <w:ilvl w:val="0"/>
          <w:numId w:val="2"/>
        </w:numPr>
        <w:spacing w:after="80"/>
      </w:pPr>
      <w:r>
        <w:t xml:space="preserve">Reference customer: closed one anchor NBFC in the first month who became the case study — their TAT reduction, conversion lift, and fraud reduction numbers became the pitch for the next 5.</w:t>
      </w:r>
    </w:p>
    <w:p>
      <w:pPr>
        <w:pStyle w:val="Heading2"/>
        <w:spacing w:after="120" w:before="240"/>
      </w:pPr>
      <w:r>
        <w:t xml:space="preserve">Outcome</w:t>
      </w:r>
    </w:p>
    <w:p>
      <w:pPr>
        <w:pStyle w:val="ListParagraph"/>
        <w:numPr>
          <w:ilvl w:val="0"/>
          <w:numId w:val="2"/>
        </w:numPr>
        <w:spacing w:after="80"/>
      </w:pPr>
      <w:r>
        <w:t xml:space="preserve">Rs.1.5 Cr in monthly loan disbursements (TPV) through the AA flow within the first launch cycle.</w:t>
      </w:r>
    </w:p>
    <w:p>
      <w:pPr>
        <w:pStyle w:val="ListParagraph"/>
        <w:numPr>
          <w:ilvl w:val="0"/>
          <w:numId w:val="2"/>
        </w:numPr>
        <w:spacing w:after="80"/>
      </w:pPr>
      <w:r>
        <w:t xml:space="preserve">Rs.50L/month revenue uplift within two quarters from new logo wins plus expansion.</w:t>
      </w:r>
    </w:p>
    <w:p>
      <w:pPr>
        <w:pStyle w:val="ListParagraph"/>
        <w:numPr>
          <w:ilvl w:val="0"/>
          <w:numId w:val="2"/>
        </w:numPr>
        <w:spacing w:after="80"/>
      </w:pPr>
      <w:r>
        <w:t xml:space="preserve">Established AuthBridge as a credible AA TSP in the mid-tier NBFC segment.</w:t>
      </w:r>
    </w:p>
    <w:p>
      <w:r>
        <w:br w:type="page"/>
      </w:r>
    </w:p>
    <w:p>
      <w:pPr>
        <w:pStyle w:val="Heading1"/>
        <w:spacing w:after="180" w:before="360"/>
      </w:pPr>
      <w:r>
        <w:t xml:space="preserve">8. 140+ Microservice API Lifecycle Management</w:t>
      </w:r>
    </w:p>
    <w:p>
      <w:pPr>
        <w:spacing w:after="120"/>
      </w:pPr>
      <w:r>
        <w:rPr>
          <w:i/>
          <w:iCs/>
        </w:rPr>
        <w:t xml:space="preserve">AuthBridge — Pareto-optimized performance across the API portfolio and overhauled release velocity</w:t>
      </w:r>
    </w:p>
    <w:p>
      <w:pPr>
        <w:spacing w:after="240"/>
      </w:pPr>
      <w:r>
        <w:rPr>
          <w:b/>
          <w:bCs/>
        </w:rPr>
        <w:t xml:space="preserve">Headline: </w:t>
      </w:r>
      <w:r>
        <w:t xml:space="preserve">Achieved sub-3-second p95 on top 20 endpoints and increased engineering release velocity by 30%.</w:t>
      </w:r>
    </w:p>
    <w:p>
      <w:pPr>
        <w:pStyle w:val="Heading2"/>
        <w:spacing w:after="120" w:before="240"/>
      </w:pPr>
      <w:r>
        <w:t xml:space="preserve">The context</w:t>
      </w:r>
    </w:p>
    <w:p>
      <w:pPr>
        <w:spacing w:after="160"/>
      </w:pPr>
      <w:r>
        <w:t xml:space="preserve">AuthBridge’s product surface was a sprawling set of verification and authentication APIs accumulated over years — KYC, PAN, Aadhaar, bank account verification, employment, education, criminal record, address, GST, and dozens more. 140+ endpoints in production. This created classic distributed-system problems: performance variability, unclear ownership, versioning chaos (multiple versions of similar endpoints lived in parallel), and release friction.</w:t>
      </w:r>
    </w:p>
    <w:p>
      <w:pPr>
        <w:pStyle w:val="Heading2"/>
        <w:spacing w:after="120" w:before="240"/>
      </w:pPr>
      <w:r>
        <w:t xml:space="preserve">Discovery</w:t>
      </w:r>
    </w:p>
    <w:p>
      <w:pPr>
        <w:pStyle w:val="ListParagraph"/>
        <w:numPr>
          <w:ilvl w:val="0"/>
          <w:numId w:val="2"/>
        </w:numPr>
        <w:spacing w:after="80"/>
      </w:pPr>
      <w:r>
        <w:t xml:space="preserve">Traffic and complaint analysis: 90 days of API logs. Top 20 endpoints accounted for ~80% of total traffic and ~75% of latency-related complaints.</w:t>
      </w:r>
    </w:p>
    <w:p>
      <w:pPr>
        <w:pStyle w:val="ListParagraph"/>
        <w:numPr>
          <w:ilvl w:val="0"/>
          <w:numId w:val="2"/>
        </w:numPr>
        <w:spacing w:after="80"/>
      </w:pPr>
      <w:r>
        <w:t xml:space="preserve">Latency profiling: instrumented the top 20 endpoints with per-stage timing. 3–4 endpoints had pathological worst-case latencies (10+ seconds) driven by third-party API timeouts and missing caching.</w:t>
      </w:r>
    </w:p>
    <w:p>
      <w:pPr>
        <w:pStyle w:val="ListParagraph"/>
        <w:numPr>
          <w:ilvl w:val="0"/>
          <w:numId w:val="2"/>
        </w:numPr>
        <w:spacing w:after="80"/>
      </w:pPr>
      <w:r>
        <w:t xml:space="preserve">Client interviews: 8–10 enterprise tech teams to validate which endpoints were business-critical. Top 20 by volume mapped well to top 20 by criticality, with a couple of corrections.</w:t>
      </w:r>
    </w:p>
    <w:p>
      <w:pPr>
        <w:pStyle w:val="Heading2"/>
        <w:spacing w:after="120" w:before="240"/>
      </w:pPr>
      <w:r>
        <w:t xml:space="preserve">Two parallel tracks</w:t>
      </w:r>
    </w:p>
    <w:p>
      <w:pPr>
        <w:pStyle w:val="ListParagraph"/>
        <w:numPr>
          <w:ilvl w:val="0"/>
          <w:numId w:val="2"/>
        </w:numPr>
        <w:spacing w:after="80"/>
      </w:pPr>
      <w:r>
        <w:t xml:space="preserve">Track 1 — Performance: aggressive caching, async pre-fetch for predictable downstream calls, circuit breakers on third-party dependencies, connection pooling, query optimization, per-endpoint SLAs with monitoring.</w:t>
      </w:r>
    </w:p>
    <w:p>
      <w:pPr>
        <w:pStyle w:val="ListParagraph"/>
        <w:numPr>
          <w:ilvl w:val="0"/>
          <w:numId w:val="2"/>
        </w:numPr>
        <w:spacing w:after="80"/>
      </w:pPr>
      <w:r>
        <w:t xml:space="preserve">Track 2 — Velocity: versioning policy with semantic versioning enforced, backward compatibility contracts, automated regression testing in CI for top 20 endpoints, a deprecation framework with client comms templates, Swagger-driven documentation auto-generation.</w:t>
      </w:r>
    </w:p>
    <w:p>
      <w:pPr>
        <w:pStyle w:val="Heading2"/>
        <w:spacing w:after="120" w:before="240"/>
      </w:pPr>
      <w:r>
        <w:t xml:space="preserve">PM contribution — being explicit</w:t>
      </w:r>
    </w:p>
    <w:p>
      <w:pPr>
        <w:spacing w:after="160"/>
      </w:pPr>
      <w:r>
        <w:t xml:space="preserve">Most of the implementation was eng-driven, but the PM work was real:</w:t>
      </w:r>
    </w:p>
    <w:p>
      <w:pPr>
        <w:pStyle w:val="ListParagraph"/>
        <w:numPr>
          <w:ilvl w:val="0"/>
          <w:numId w:val="2"/>
        </w:numPr>
        <w:spacing w:after="80"/>
      </w:pPr>
      <w:r>
        <w:t xml:space="preserve">Prioritization: deciding which 20 endpoints, which optimizations, which tradeoffs.</w:t>
      </w:r>
    </w:p>
    <w:p>
      <w:pPr>
        <w:pStyle w:val="ListParagraph"/>
        <w:numPr>
          <w:ilvl w:val="0"/>
          <w:numId w:val="2"/>
        </w:numPr>
        <w:spacing w:after="80"/>
      </w:pPr>
      <w:r>
        <w:t xml:space="preserve">Client communication: every change touched at least one enterprise client. Advance notice, migration windows, fallback plans.</w:t>
      </w:r>
    </w:p>
    <w:p>
      <w:pPr>
        <w:pStyle w:val="ListParagraph"/>
        <w:numPr>
          <w:ilvl w:val="0"/>
          <w:numId w:val="2"/>
        </w:numPr>
        <w:spacing w:after="80"/>
      </w:pPr>
      <w:r>
        <w:t xml:space="preserve">Cross-team coordination: endpoints crossed multiple eng teams. Built an informal API council that met biweekly to align standards.</w:t>
      </w:r>
    </w:p>
    <w:p>
      <w:pPr>
        <w:pStyle w:val="ListParagraph"/>
        <w:numPr>
          <w:ilvl w:val="0"/>
          <w:numId w:val="2"/>
        </w:numPr>
        <w:spacing w:after="80"/>
      </w:pPr>
      <w:r>
        <w:t xml:space="preserve">Tradeoff framing: deprecating old API versions saved eng time but risked client friction. Defining who got grandfathered and for how long was a PM call.</w:t>
      </w:r>
    </w:p>
    <w:p>
      <w:pPr>
        <w:pStyle w:val="Heading2"/>
        <w:spacing w:after="120" w:before="240"/>
      </w:pPr>
      <w:r>
        <w:t xml:space="preserve">Outcome</w:t>
      </w:r>
    </w:p>
    <w:p>
      <w:pPr>
        <w:pStyle w:val="ListParagraph"/>
        <w:numPr>
          <w:ilvl w:val="0"/>
          <w:numId w:val="2"/>
        </w:numPr>
        <w:spacing w:after="80"/>
      </w:pPr>
      <w:r>
        <w:t xml:space="preserve">Top 20 endpoints hit sub-3-second p95 (down from a long tail hitting 10+ seconds at p99).</w:t>
      </w:r>
    </w:p>
    <w:p>
      <w:pPr>
        <w:pStyle w:val="ListParagraph"/>
        <w:numPr>
          <w:ilvl w:val="0"/>
          <w:numId w:val="2"/>
        </w:numPr>
        <w:spacing w:after="80"/>
      </w:pPr>
      <w:r>
        <w:t xml:space="preserve">Engineering release velocity up ~30% — measured as releases per sprint, enabled by standardized regression testing and versioning policy.</w:t>
      </w:r>
    </w:p>
    <w:p>
      <w:pPr>
        <w:pStyle w:val="ListParagraph"/>
        <w:numPr>
          <w:ilvl w:val="0"/>
          <w:numId w:val="2"/>
        </w:numPr>
        <w:spacing w:after="80"/>
      </w:pPr>
      <w:r>
        <w:t xml:space="preserve">API-related client complaint tickets dropped meaningfully.</w:t>
      </w:r>
    </w:p>
    <w:p>
      <w:pPr>
        <w:pStyle w:val="ListParagraph"/>
        <w:numPr>
          <w:ilvl w:val="0"/>
          <w:numId w:val="2"/>
        </w:numPr>
        <w:spacing w:after="80"/>
      </w:pPr>
      <w:r>
        <w:t xml:space="preserve">Laid the foundation for the OPUS 2.0 repositioning as an API-first platform.</w:t>
      </w:r>
    </w:p>
    <w:p>
      <w:r>
        <w:br w:type="page"/>
      </w:r>
    </w:p>
    <w:p>
      <w:pPr>
        <w:pStyle w:val="Heading1"/>
        <w:spacing w:after="180" w:before="360"/>
      </w:pPr>
      <w:r>
        <w:t xml:space="preserve">9. Video KYC UX Redesign</w:t>
      </w:r>
    </w:p>
    <w:p>
      <w:pPr>
        <w:spacing w:after="120"/>
      </w:pPr>
      <w:r>
        <w:rPr>
          <w:i/>
          <w:iCs/>
        </w:rPr>
        <w:t xml:space="preserve">AuthBridge — Field-research-led redesign of the VKYC onboarding journey</w:t>
      </w:r>
    </w:p>
    <w:p>
      <w:pPr>
        <w:spacing w:after="240"/>
      </w:pPr>
      <w:r>
        <w:rPr>
          <w:b/>
          <w:bCs/>
        </w:rPr>
        <w:t xml:space="preserve">Headline: </w:t>
      </w:r>
      <w:r>
        <w:t xml:space="preserve">Reduced user drop-offs by 21% (relative) across the end-to-end funnel.</w:t>
      </w:r>
    </w:p>
    <w:p>
      <w:pPr>
        <w:pStyle w:val="Heading2"/>
        <w:spacing w:after="120" w:before="240"/>
      </w:pPr>
      <w:r>
        <w:t xml:space="preserve">The context</w:t>
      </w:r>
    </w:p>
    <w:p>
      <w:pPr>
        <w:spacing w:after="160"/>
      </w:pPr>
      <w:r>
        <w:t xml:space="preserve">Video KYC is RBI-permitted remote identity verification — an end-user joins a live video session with a trained agent, shows their ID documents, completes liveness checks, and gets verified. It’s a regulated alternative to in-person KYC and critical for NBFCs and banks doing digital onboarding.</w:t>
      </w:r>
    </w:p>
    <w:p>
      <w:pPr>
        <w:spacing w:after="160"/>
      </w:pPr>
      <w:r>
        <w:t xml:space="preserve">It’s also notoriously high-friction. Industry drop-off rates routinely run 30–50%. Every percentage point is direct revenue loss for the NBFC client. AuthBridge’s VKYC was performant but not class-leading on completion rates, and enterprise clients were asking for funnel improvements.</w:t>
      </w:r>
    </w:p>
    <w:p>
      <w:pPr>
        <w:pStyle w:val="Heading2"/>
        <w:spacing w:after="120" w:before="240"/>
      </w:pPr>
      <w:r>
        <w:t xml:space="preserve">Discovery — 25+ field audits</w:t>
      </w:r>
    </w:p>
    <w:p>
      <w:pPr>
        <w:pStyle w:val="ListParagraph"/>
        <w:numPr>
          <w:ilvl w:val="0"/>
          <w:numId w:val="2"/>
        </w:numPr>
        <w:spacing w:after="80"/>
      </w:pPr>
      <w:r>
        <w:t xml:space="preserve">Mix of in-person and remote: sat in NBFC branches watching actual applicants; instrumented sessions with consent and reviewed recordings for pure remote VKYC.</w:t>
      </w:r>
    </w:p>
    <w:p>
      <w:pPr>
        <w:pStyle w:val="ListParagraph"/>
        <w:numPr>
          <w:ilvl w:val="0"/>
          <w:numId w:val="2"/>
        </w:numPr>
        <w:spacing w:after="80"/>
      </w:pPr>
      <w:r>
        <w:t xml:space="preserve">Mix of geographies and demographics: urban tier-1, tier-2/3, multiple age groups. Older applicants struggled with different things than younger ones.</w:t>
      </w:r>
    </w:p>
    <w:p>
      <w:pPr>
        <w:pStyle w:val="ListParagraph"/>
        <w:numPr>
          <w:ilvl w:val="0"/>
          <w:numId w:val="2"/>
        </w:numPr>
        <w:spacing w:after="80"/>
      </w:pPr>
      <w:r>
        <w:t xml:space="preserve">Funnel instrumentation: every screen and step instrumented with drop-off events. Field audits gave the why; data gave the where.</w:t>
      </w:r>
    </w:p>
    <w:p>
      <w:pPr>
        <w:pStyle w:val="Heading2"/>
        <w:spacing w:after="120" w:before="240"/>
      </w:pPr>
      <w:r>
        <w:t xml:space="preserve">What I found</w:t>
      </w:r>
    </w:p>
    <w:p>
      <w:pPr>
        <w:spacing w:after="160"/>
      </w:pPr>
      <w:r>
        <w:t xml:space="preserve">Drop-offs concentrated at three points:</w:t>
      </w:r>
    </w:p>
    <w:p>
      <w:pPr>
        <w:pStyle w:val="ListParagraph"/>
        <w:numPr>
          <w:ilvl w:val="0"/>
          <w:numId w:val="2"/>
        </w:numPr>
        <w:spacing w:after="80"/>
      </w:pPr>
      <w:r>
        <w:t xml:space="preserve">Document capture: users couldn’t frame the document correctly. Static rectangle, no real-time feedback. 3–4 attempts average; many gave up.</w:t>
      </w:r>
    </w:p>
    <w:p>
      <w:pPr>
        <w:pStyle w:val="ListParagraph"/>
        <w:numPr>
          <w:ilvl w:val="0"/>
          <w:numId w:val="2"/>
        </w:numPr>
        <w:spacing w:after="80"/>
      </w:pPr>
      <w:r>
        <w:t xml:space="preserve">Agent connection / queue wait: 90-second peak waits with just a spinner. Users hung up at 30–45 seconds thinking the system had hung.</w:t>
      </w:r>
    </w:p>
    <w:p>
      <w:pPr>
        <w:pStyle w:val="ListParagraph"/>
        <w:numPr>
          <w:ilvl w:val="0"/>
          <w:numId w:val="2"/>
        </w:numPr>
        <w:spacing w:after="80"/>
      </w:pPr>
      <w:r>
        <w:t xml:space="preserve">Consent screen complexity: dense legal text. Users either rage-quit or scrolled-and-clicked without reading.</w:t>
      </w:r>
    </w:p>
    <w:p>
      <w:pPr>
        <w:pStyle w:val="Heading2"/>
        <w:spacing w:after="120" w:before="240"/>
      </w:pPr>
      <w:r>
        <w:t xml:space="preserve">The interventions</w:t>
      </w:r>
    </w:p>
    <w:p>
      <w:pPr>
        <w:pStyle w:val="ListParagraph"/>
        <w:numPr>
          <w:ilvl w:val="0"/>
          <w:numId w:val="2"/>
        </w:numPr>
        <w:spacing w:after="80"/>
      </w:pPr>
      <w:r>
        <w:t xml:space="preserve">Document capture: real-time edge detection with visual feedback (‘hold steady,’ ‘move closer,’ ‘good — capturing now’). Auto-capture when correctly framed instead of requiring a button tap.</w:t>
      </w:r>
    </w:p>
    <w:p>
      <w:pPr>
        <w:pStyle w:val="ListParagraph"/>
        <w:numPr>
          <w:ilvl w:val="0"/>
          <w:numId w:val="2"/>
        </w:numPr>
        <w:spacing w:after="80"/>
      </w:pPr>
      <w:r>
        <w:t xml:space="preserve">Agent connection: replaced the spinner with queue transparency — ‘You’re #3 in queue, estimated wait 45 seconds’ — with a live countdown. Added a ‘we’ll call you back’ option for users who didn’t want to wait.</w:t>
      </w:r>
    </w:p>
    <w:p>
      <w:pPr>
        <w:pStyle w:val="ListParagraph"/>
        <w:numPr>
          <w:ilvl w:val="0"/>
          <w:numId w:val="2"/>
        </w:numPr>
        <w:spacing w:after="80"/>
      </w:pPr>
      <w:r>
        <w:t xml:space="preserve">Consent screen: kept the full legal text but added a plain-language summary at the top, broke consent into clear sections with simple language, used progressive disclosure for details. Legal signed off because full text was retained.</w:t>
      </w:r>
    </w:p>
    <w:p>
      <w:pPr>
        <w:pStyle w:val="Heading2"/>
        <w:spacing w:after="120" w:before="240"/>
      </w:pPr>
      <w:r>
        <w:t xml:space="preserve">Testing</w:t>
      </w:r>
    </w:p>
    <w:p>
      <w:pPr>
        <w:pStyle w:val="ListParagraph"/>
        <w:numPr>
          <w:ilvl w:val="0"/>
          <w:numId w:val="2"/>
        </w:numPr>
        <w:spacing w:after="80"/>
      </w:pPr>
      <w:r>
        <w:t xml:space="preserve">Figma prototypes through think-aloud sessions before any engineering.</w:t>
      </w:r>
    </w:p>
    <w:p>
      <w:pPr>
        <w:pStyle w:val="ListParagraph"/>
        <w:numPr>
          <w:ilvl w:val="0"/>
          <w:numId w:val="2"/>
        </w:numPr>
        <w:spacing w:after="80"/>
      </w:pPr>
      <w:r>
        <w:t xml:space="preserve">A/B testing each intervention to a fraction of traffic — pre-approved by legal and compliance that both variants met regulatory requirements.</w:t>
      </w:r>
    </w:p>
    <w:p>
      <w:pPr>
        <w:pStyle w:val="ListParagraph"/>
        <w:numPr>
          <w:ilvl w:val="0"/>
          <w:numId w:val="2"/>
        </w:numPr>
        <w:spacing w:after="80"/>
      </w:pPr>
      <w:r>
        <w:t xml:space="preserve">Funnel measurement at each step, weighted across geographies and demographics to avoid Simpson’s-paradox confusion.</w:t>
      </w:r>
    </w:p>
    <w:p>
      <w:pPr>
        <w:pStyle w:val="Heading2"/>
        <w:spacing w:after="120" w:before="240"/>
      </w:pPr>
      <w:r>
        <w:t xml:space="preserve">Outcome</w:t>
      </w:r>
    </w:p>
    <w:p>
      <w:pPr>
        <w:pStyle w:val="ListParagraph"/>
        <w:numPr>
          <w:ilvl w:val="0"/>
          <w:numId w:val="2"/>
        </w:numPr>
        <w:spacing w:after="80"/>
      </w:pPr>
      <w:r>
        <w:t xml:space="preserve">21% relative reduction in drop-off (~38% drop-off down to ~30%, meaning completion went from ~62% to ~70%).</w:t>
      </w:r>
    </w:p>
    <w:p>
      <w:pPr>
        <w:pStyle w:val="ListParagraph"/>
        <w:numPr>
          <w:ilvl w:val="0"/>
          <w:numId w:val="2"/>
        </w:numPr>
        <w:spacing w:after="80"/>
      </w:pPr>
      <w:r>
        <w:t xml:space="preserve">Document capture step accounted for roughly half of the overall improvement.</w:t>
      </w:r>
    </w:p>
    <w:p>
      <w:pPr>
        <w:pStyle w:val="ListParagraph"/>
        <w:numPr>
          <w:ilvl w:val="0"/>
          <w:numId w:val="2"/>
        </w:numPr>
        <w:spacing w:after="80"/>
      </w:pPr>
      <w:r>
        <w:t xml:space="preserve">Two enterprise clients cited the funnel improvement in renewal conversations.</w:t>
      </w:r>
    </w:p>
    <w:p>
      <w:pPr>
        <w:pStyle w:val="ListParagraph"/>
        <w:numPr>
          <w:ilvl w:val="0"/>
          <w:numId w:val="2"/>
        </w:numPr>
        <w:spacing w:after="80"/>
      </w:pPr>
      <w:r>
        <w:t xml:space="preserve">One client expanded volume after seeing the conversion lift on their own data.</w:t>
      </w:r>
    </w:p>
    <w:p>
      <w:r>
        <w:br w:type="page"/>
      </w:r>
    </w:p>
    <w:p>
      <w:pPr>
        <w:pStyle w:val="Heading1"/>
        <w:spacing w:after="180" w:before="360"/>
      </w:pPr>
      <w:r>
        <w:t xml:space="preserve">10. OPUS — Vendor Allocation Engine + Field Agent App</w:t>
      </w:r>
    </w:p>
    <w:p>
      <w:pPr>
        <w:spacing w:after="120"/>
      </w:pPr>
      <w:r>
        <w:rPr>
          <w:i/>
          <w:iCs/>
        </w:rPr>
        <w:t xml:space="preserve">AuthBridge — Two-sided platform for India-wide address verification operations</w:t>
      </w:r>
    </w:p>
    <w:p>
      <w:pPr>
        <w:spacing w:after="240"/>
      </w:pPr>
      <w:r>
        <w:rPr>
          <w:b/>
          <w:bCs/>
        </w:rPr>
        <w:t xml:space="preserve">Headline: </w:t>
      </w:r>
      <w:r>
        <w:t xml:space="preserve">Drove allocation automation to 95% and shipped a guided field-agent app cutting QC rejections and end-to-end TAT.</w:t>
      </w:r>
    </w:p>
    <w:p>
      <w:pPr>
        <w:pStyle w:val="Heading2"/>
        <w:spacing w:after="120" w:before="240"/>
      </w:pPr>
      <w:r>
        <w:t xml:space="preserve">What OPUS actually is</w:t>
      </w:r>
    </w:p>
    <w:p>
      <w:pPr>
        <w:spacing w:after="160"/>
      </w:pPr>
      <w:r>
        <w:t xml:space="preserve">OPUS is a two-sided platform for AuthBridge’s address verification operations.</w:t>
      </w:r>
    </w:p>
    <w:p>
      <w:pPr>
        <w:spacing w:after="160"/>
      </w:pPr>
      <w:r>
        <w:t xml:space="preserve">Side 1 — Vendor-facing allocation engine. AuthBridge runs address verification across India through a network of vendor agencies. When a check comes in (e.g., NBFC client requests address verification for a loan applicant in Indore), the system auto-allocates to the best-fit vendor based on current load, historical response time, quality scores, geographic coverage, and SLA performance.</w:t>
      </w:r>
    </w:p>
    <w:p>
      <w:pPr>
        <w:spacing w:after="160"/>
      </w:pPr>
      <w:r>
        <w:t xml:space="preserve">Side 2 — Field agent mobile app. Each vendor assigns physical agents who visit addresses. The app shows their daily allocation, optimizes their route based on priority and distance, guides them through document collection at each address, and uploads everything to AuthBridge in real time.</w:t>
      </w:r>
    </w:p>
    <w:p>
      <w:pPr>
        <w:pStyle w:val="Heading2"/>
        <w:spacing w:after="120" w:before="240"/>
      </w:pPr>
      <w:r>
        <w:t xml:space="preserve">Where OPUS was before</w:t>
      </w:r>
    </w:p>
    <w:p>
      <w:pPr>
        <w:pStyle w:val="ListParagraph"/>
        <w:numPr>
          <w:ilvl w:val="0"/>
          <w:numId w:val="2"/>
        </w:numPr>
        <w:spacing w:after="80"/>
      </w:pPr>
      <w:r>
        <w:t xml:space="preserve">Allocation was ~60–70% manual. Ops coordinators looked at incoming checks and assigned them based on tribal knowledge.</w:t>
      </w:r>
    </w:p>
    <w:p>
      <w:pPr>
        <w:pStyle w:val="ListParagraph"/>
        <w:numPr>
          <w:ilvl w:val="0"/>
          <w:numId w:val="2"/>
        </w:numPr>
        <w:spacing w:after="80"/>
      </w:pPr>
      <w:r>
        <w:t xml:space="preserve">Vendor performance signals were scattered — response time, quality rejection rate, SLA breaches lived in separate reports.</w:t>
      </w:r>
    </w:p>
    <w:p>
      <w:pPr>
        <w:pStyle w:val="ListParagraph"/>
        <w:numPr>
          <w:ilvl w:val="0"/>
          <w:numId w:val="2"/>
        </w:numPr>
        <w:spacing w:after="80"/>
      </w:pPr>
      <w:r>
        <w:t xml:space="preserve">Field agents worked off PDF lists or WhatsApp messages. No route optimization. Document collection was inconsistent, leading to QC rejections and rework.</w:t>
      </w:r>
    </w:p>
    <w:p>
      <w:pPr>
        <w:pStyle w:val="ListParagraph"/>
        <w:numPr>
          <w:ilvl w:val="0"/>
          <w:numId w:val="2"/>
        </w:numPr>
        <w:spacing w:after="80"/>
      </w:pPr>
      <w:r>
        <w:t xml:space="preserve">Data flowed back via end-of-day uploads — AuthBridge didn’t know if a verification was actually completed until hours later.</w:t>
      </w:r>
    </w:p>
    <w:p>
      <w:pPr>
        <w:pStyle w:val="Heading2"/>
        <w:spacing w:after="120" w:before="240"/>
      </w:pPr>
      <w:r>
        <w:t xml:space="preserve">Discovery</w:t>
      </w:r>
    </w:p>
    <w:p>
      <w:pPr>
        <w:pStyle w:val="ListParagraph"/>
        <w:numPr>
          <w:ilvl w:val="0"/>
          <w:numId w:val="2"/>
        </w:numPr>
        <w:spacing w:after="80"/>
      </w:pPr>
      <w:r>
        <w:t xml:space="preserve">Ops shadowing: sat with allocation coordinators for several days, mapped the decision logic. Patterns were learnable — distance, current load, recent quality, SLA risk. Coordinators were running a heuristic in their heads; it could be codified.</w:t>
      </w:r>
    </w:p>
    <w:p>
      <w:pPr>
        <w:pStyle w:val="ListParagraph"/>
        <w:numPr>
          <w:ilvl w:val="0"/>
          <w:numId w:val="2"/>
        </w:numPr>
        <w:spacing w:after="80"/>
      </w:pPr>
      <w:r>
        <w:t xml:space="preserve">Vendor and agent interviews: visited 3–4 vendor offices, rode along with 5–6 field agents in different cities. Agents wanted clearer route guidance; vendor managers wanted predictable load more than higher rates.</w:t>
      </w:r>
    </w:p>
    <w:p>
      <w:pPr>
        <w:pStyle w:val="ListParagraph"/>
        <w:numPr>
          <w:ilvl w:val="0"/>
          <w:numId w:val="2"/>
        </w:numPr>
        <w:spacing w:after="80"/>
      </w:pPr>
      <w:r>
        <w:t xml:space="preserve">Quality root cause: 3 months of QC rejections. ~40% caused by incomplete or wrong document capture — missing photos, wrong angle, missing signature. Solvable with in-app guidance.</w:t>
      </w:r>
    </w:p>
    <w:p>
      <w:pPr>
        <w:pStyle w:val="Heading2"/>
        <w:spacing w:after="120" w:before="240"/>
      </w:pPr>
      <w:r>
        <w:t xml:space="preserve">Decisions — allocation engine</w:t>
      </w:r>
    </w:p>
    <w:p>
      <w:pPr>
        <w:pStyle w:val="ListParagraph"/>
        <w:numPr>
          <w:ilvl w:val="0"/>
          <w:numId w:val="2"/>
        </w:numPr>
        <w:spacing w:after="80"/>
      </w:pPr>
      <w:r>
        <w:t xml:space="preserve">Multi-factor scoring per vendor per check: geographic fit, current load vs capacity, rolling response time, quality score, SLA-breach risk, and a freshness factor to prevent over-allocation to top performers.</w:t>
      </w:r>
    </w:p>
    <w:p>
      <w:pPr>
        <w:pStyle w:val="ListParagraph"/>
        <w:numPr>
          <w:ilvl w:val="0"/>
          <w:numId w:val="2"/>
        </w:numPr>
        <w:spacing w:after="80"/>
      </w:pPr>
      <w:r>
        <w:t xml:space="preserve">Confidence threshold for auto-allocation — high confidence auto-allocates, low confidence flags to a human coordinator. This is what got us to ~95% rather than 100%.</w:t>
      </w:r>
    </w:p>
    <w:p>
      <w:pPr>
        <w:pStyle w:val="ListParagraph"/>
        <w:numPr>
          <w:ilvl w:val="0"/>
          <w:numId w:val="2"/>
        </w:numPr>
        <w:spacing w:after="80"/>
      </w:pPr>
      <w:r>
        <w:t xml:space="preserve">Continuous feedback loop — every completed check fed back into the vendor’s score.</w:t>
      </w:r>
    </w:p>
    <w:p>
      <w:pPr>
        <w:pStyle w:val="Heading2"/>
        <w:spacing w:after="120" w:before="240"/>
      </w:pPr>
      <w:r>
        <w:t xml:space="preserve">Decisions — field agent app</w:t>
      </w:r>
    </w:p>
    <w:p>
      <w:pPr>
        <w:pStyle w:val="ListParagraph"/>
        <w:numPr>
          <w:ilvl w:val="0"/>
          <w:numId w:val="2"/>
        </w:numPr>
        <w:spacing w:after="80"/>
      </w:pPr>
      <w:r>
        <w:t xml:space="preserve">Daily allocation view with priorities flagged (SLA-at-risk first).</w:t>
      </w:r>
    </w:p>
    <w:p>
      <w:pPr>
        <w:pStyle w:val="ListParagraph"/>
        <w:numPr>
          <w:ilvl w:val="0"/>
          <w:numId w:val="2"/>
        </w:numPr>
        <w:spacing w:after="80"/>
      </w:pPr>
      <w:r>
        <w:t xml:space="preserve">Route optimization using TSP-style routing against expected stop duration and distance.</w:t>
      </w:r>
    </w:p>
    <w:p>
      <w:pPr>
        <w:pStyle w:val="ListParagraph"/>
        <w:numPr>
          <w:ilvl w:val="0"/>
          <w:numId w:val="2"/>
        </w:numPr>
        <w:spacing w:after="80"/>
      </w:pPr>
      <w:r>
        <w:t xml:space="preserve">Step-by-step in-field guidance — for each address, what to verify, which photos to capture (with overlay framing guides), which form fields to fill.</w:t>
      </w:r>
    </w:p>
    <w:p>
      <w:pPr>
        <w:pStyle w:val="ListParagraph"/>
        <w:numPr>
          <w:ilvl w:val="0"/>
          <w:numId w:val="2"/>
        </w:numPr>
        <w:spacing w:after="80"/>
      </w:pPr>
      <w:r>
        <w:t xml:space="preserve">Real-time upload of each completed verification, not end-of-day batch.</w:t>
      </w:r>
    </w:p>
    <w:p>
      <w:pPr>
        <w:pStyle w:val="ListParagraph"/>
        <w:numPr>
          <w:ilvl w:val="0"/>
          <w:numId w:val="2"/>
        </w:numPr>
        <w:spacing w:after="80"/>
      </w:pPr>
      <w:r>
        <w:t xml:space="preserve">Offline capability — agents in low-connectivity areas could complete checks and sync later.</w:t>
      </w:r>
    </w:p>
    <w:p>
      <w:pPr>
        <w:pStyle w:val="Heading2"/>
        <w:spacing w:after="120" w:before="240"/>
      </w:pPr>
      <w:r>
        <w:t xml:space="preserve">Hard parts</w:t>
      </w:r>
    </w:p>
    <w:p>
      <w:pPr>
        <w:pStyle w:val="ListParagraph"/>
        <w:numPr>
          <w:ilvl w:val="0"/>
          <w:numId w:val="2"/>
        </w:numPr>
        <w:spacing w:after="80"/>
      </w:pPr>
      <w:r>
        <w:t xml:space="preserve">Cold start for new vendors — solved with a ‘trial allocation’ pool of low-risk checks until they had enough history.</w:t>
      </w:r>
    </w:p>
    <w:p>
      <w:pPr>
        <w:pStyle w:val="ListParagraph"/>
        <w:numPr>
          <w:ilvl w:val="0"/>
          <w:numId w:val="2"/>
        </w:numPr>
        <w:spacing w:after="80"/>
      </w:pPr>
      <w:r>
        <w:t xml:space="preserve">Gaming risk — vendors might game quality or load metrics. Built spot audits and statistical anomaly detection.</w:t>
      </w:r>
    </w:p>
    <w:p>
      <w:pPr>
        <w:pStyle w:val="ListParagraph"/>
        <w:numPr>
          <w:ilvl w:val="0"/>
          <w:numId w:val="2"/>
        </w:numPr>
        <w:spacing w:after="80"/>
      </w:pPr>
      <w:r>
        <w:t xml:space="preserve">Field-agent adoption — large touch targets, minimal text, icon-driven nav, vernacular language support, offline reliability. App went through 4–5 iterations before shipping.</w:t>
      </w:r>
    </w:p>
    <w:p>
      <w:pPr>
        <w:pStyle w:val="Heading2"/>
        <w:spacing w:after="120" w:before="240"/>
      </w:pPr>
      <w:r>
        <w:t xml:space="preserve">Outcome</w:t>
      </w:r>
    </w:p>
    <w:p>
      <w:pPr>
        <w:pStyle w:val="ListParagraph"/>
        <w:numPr>
          <w:ilvl w:val="0"/>
          <w:numId w:val="2"/>
        </w:numPr>
        <w:spacing w:after="80"/>
      </w:pPr>
      <w:r>
        <w:t xml:space="preserve">~95% allocation automation.</w:t>
      </w:r>
    </w:p>
    <w:p>
      <w:pPr>
        <w:pStyle w:val="ListParagraph"/>
        <w:numPr>
          <w:ilvl w:val="0"/>
          <w:numId w:val="2"/>
        </w:numPr>
        <w:spacing w:after="80"/>
      </w:pPr>
      <w:r>
        <w:t xml:space="preserve">Significant reduction in QC rejections — in-field capture guidance prevented the common errors.</w:t>
      </w:r>
    </w:p>
    <w:p>
      <w:pPr>
        <w:pStyle w:val="ListParagraph"/>
        <w:numPr>
          <w:ilvl w:val="0"/>
          <w:numId w:val="2"/>
        </w:numPr>
        <w:spacing w:after="80"/>
      </w:pPr>
      <w:r>
        <w:t xml:space="preserve">End-to-end TAT improvements because agents routed better and uploaded in real time.</w:t>
      </w:r>
    </w:p>
    <w:p>
      <w:pPr>
        <w:pStyle w:val="ListParagraph"/>
        <w:numPr>
          <w:ilvl w:val="0"/>
          <w:numId w:val="2"/>
        </w:numPr>
        <w:spacing w:after="80"/>
      </w:pPr>
      <w:r>
        <w:t xml:space="preserve">Vendor satisfaction improved through more predictable load distribution.</w:t>
      </w:r>
    </w:p>
    <w:p>
      <w:r>
        <w:br w:type="page"/>
      </w:r>
    </w:p>
    <w:p>
      <w:pPr>
        <w:pStyle w:val="Heading1"/>
        <w:spacing w:after="180" w:before="360"/>
      </w:pPr>
      <w:r>
        <w:t xml:space="preserve">11. Employment Verification Automation</w:t>
      </w:r>
    </w:p>
    <w:p>
      <w:pPr>
        <w:spacing w:after="120"/>
      </w:pPr>
      <w:r>
        <w:rPr>
          <w:i/>
          <w:iCs/>
        </w:rPr>
        <w:t xml:space="preserve">AuthBridge — LLM-based email generation and sentiment-driven decisioning on qualitative fields</w:t>
      </w:r>
    </w:p>
    <w:p>
      <w:pPr>
        <w:spacing w:after="240"/>
      </w:pPr>
      <w:r>
        <w:rPr>
          <w:b/>
          <w:bCs/>
        </w:rPr>
        <w:t xml:space="preserve">Headline: </w:t>
      </w:r>
      <w:r>
        <w:t xml:space="preserve">Eliminated ~40 FTE dependency (~Rs.10L/month savings) and achieved 32% auto-closure on verification tickets.</w:t>
      </w:r>
    </w:p>
    <w:p>
      <w:pPr>
        <w:pStyle w:val="Heading2"/>
        <w:spacing w:after="120" w:before="240"/>
      </w:pPr>
      <w:r>
        <w:t xml:space="preserve">What it actually is</w:t>
      </w:r>
    </w:p>
    <w:p>
      <w:pPr>
        <w:spacing w:after="160"/>
      </w:pPr>
      <w:r>
        <w:t xml:space="preserve">Bridge’s employment verification flow pre-automation:</w:t>
      </w:r>
    </w:p>
    <w:p>
      <w:pPr>
        <w:pStyle w:val="ListParagraph"/>
        <w:numPr>
          <w:ilvl w:val="0"/>
          <w:numId w:val="2"/>
        </w:numPr>
        <w:spacing w:after="80"/>
      </w:pPr>
      <w:r>
        <w:t xml:space="preserve">AuthBridge associate receives a verification request — verify the candidate’s employment with Previous Employer X.</w:t>
      </w:r>
    </w:p>
    <w:p>
      <w:pPr>
        <w:pStyle w:val="ListParagraph"/>
        <w:numPr>
          <w:ilvl w:val="0"/>
          <w:numId w:val="2"/>
        </w:numPr>
        <w:spacing w:after="80"/>
      </w:pPr>
      <w:r>
        <w:t xml:space="preserve">Associate writes an email to the HR contact at the previous employer with candidate details.</w:t>
      </w:r>
    </w:p>
    <w:p>
      <w:pPr>
        <w:pStyle w:val="ListParagraph"/>
        <w:numPr>
          <w:ilvl w:val="0"/>
          <w:numId w:val="2"/>
        </w:numPr>
        <w:spacing w:after="80"/>
      </w:pPr>
      <w:r>
        <w:t xml:space="preserve">HR contact replies with employment details.</w:t>
      </w:r>
    </w:p>
    <w:p>
      <w:pPr>
        <w:pStyle w:val="ListParagraph"/>
        <w:numPr>
          <w:ilvl w:val="0"/>
          <w:numId w:val="2"/>
        </w:numPr>
        <w:spacing w:after="80"/>
      </w:pPr>
      <w:r>
        <w:t xml:space="preserve">Associate parses the reply, extracts static fields (name, DOJ, DOL, CTC), reads through qualitative fields (code of conduct, reason for leaving, handover, rehire eligibility).</w:t>
      </w:r>
    </w:p>
    <w:p>
      <w:pPr>
        <w:pStyle w:val="ListParagraph"/>
        <w:numPr>
          <w:ilvl w:val="0"/>
          <w:numId w:val="2"/>
        </w:numPr>
        <w:spacing w:after="80"/>
      </w:pPr>
      <w:r>
        <w:t xml:space="preserve">Associate generates a pass/fail decision and report.</w:t>
      </w:r>
    </w:p>
    <w:p>
      <w:pPr>
        <w:pStyle w:val="Heading2"/>
        <w:spacing w:after="120" w:before="240"/>
      </w:pPr>
      <w:r>
        <w:t xml:space="preserve">The problem</w:t>
      </w:r>
    </w:p>
    <w:p>
      <w:pPr>
        <w:spacing w:after="160"/>
      </w:pPr>
      <w:r>
        <w:t xml:space="preserve">High-volume, repetitive work, judgment-light at the parsing stage but judgment-heavy at the decisioning stage. AuthBridge ran ~40 ops associates doing this end-to-end. The team was a major cost line, scaled linearly with volume, and bottlenecked client TAT.</w:t>
      </w:r>
    </w:p>
    <w:p>
      <w:pPr>
        <w:pStyle w:val="Heading2"/>
        <w:spacing w:after="120" w:before="240"/>
      </w:pPr>
      <w:r>
        <w:t xml:space="preserve">Discovery</w:t>
      </w:r>
    </w:p>
    <w:p>
      <w:pPr>
        <w:pStyle w:val="ListParagraph"/>
        <w:numPr>
          <w:ilvl w:val="0"/>
          <w:numId w:val="2"/>
        </w:numPr>
        <w:spacing w:after="80"/>
      </w:pPr>
      <w:r>
        <w:t xml:space="preserve">Mailbox audit: 6 months of correspondence. Each verification source tended to reply in a consistent format — subject line patterns, field ordering, language style.</w:t>
      </w:r>
    </w:p>
    <w:p>
      <w:pPr>
        <w:pStyle w:val="ListParagraph"/>
        <w:numPr>
          <w:ilvl w:val="0"/>
          <w:numId w:val="2"/>
        </w:numPr>
        <w:spacing w:after="80"/>
      </w:pPr>
      <w:r>
        <w:t xml:space="preserve">Ops shadowing: watched associates handle 20+ cases each. Decision rules were near-deterministic for most cases but had real judgment in language nuance.</w:t>
      </w:r>
    </w:p>
    <w:p>
      <w:pPr>
        <w:pStyle w:val="ListParagraph"/>
        <w:numPr>
          <w:ilvl w:val="0"/>
          <w:numId w:val="2"/>
        </w:numPr>
        <w:spacing w:after="80"/>
      </w:pPr>
      <w:r>
        <w:t xml:space="preserve">Volume analysis: top 30% of verification sources accounted for 80% of volume. Automate those well and we dominate the work.</w:t>
      </w:r>
    </w:p>
    <w:p>
      <w:pPr>
        <w:pStyle w:val="Heading2"/>
        <w:spacing w:after="120" w:before="240"/>
      </w:pPr>
      <w:r>
        <w:t xml:space="preserve">Decisions — outbound automation</w:t>
      </w:r>
    </w:p>
    <w:p>
      <w:pPr>
        <w:pStyle w:val="ListParagraph"/>
        <w:numPr>
          <w:ilvl w:val="0"/>
          <w:numId w:val="2"/>
        </w:numPr>
        <w:spacing w:after="80"/>
      </w:pPr>
      <w:r>
        <w:t xml:space="preserve">LLM generates the verification email per case, conditioned on candidate details, AuthBridge’s verification ask, and a template structure learned from past correspondence with that verification source.</w:t>
      </w:r>
    </w:p>
    <w:p>
      <w:pPr>
        <w:pStyle w:val="ListParagraph"/>
        <w:numPr>
          <w:ilvl w:val="0"/>
          <w:numId w:val="2"/>
        </w:numPr>
        <w:spacing w:after="80"/>
      </w:pPr>
      <w:r>
        <w:t xml:space="preserve">Per-source customization — for high-volume sources, the prompt included examples of past emails to and from that source.</w:t>
      </w:r>
    </w:p>
    <w:p>
      <w:pPr>
        <w:pStyle w:val="ListParagraph"/>
        <w:numPr>
          <w:ilvl w:val="0"/>
          <w:numId w:val="2"/>
        </w:numPr>
        <w:spacing w:after="80"/>
      </w:pPr>
      <w:r>
        <w:t xml:space="preserve">Associate review before send for the first deployments; full auto-send once confidence stabilized.</w:t>
      </w:r>
    </w:p>
    <w:p>
      <w:pPr>
        <w:pStyle w:val="Heading2"/>
        <w:spacing w:after="120" w:before="240"/>
      </w:pPr>
      <w:r>
        <w:t xml:space="preserve">Decisions — inbound parsing</w:t>
      </w:r>
    </w:p>
    <w:p>
      <w:pPr>
        <w:pStyle w:val="ListParagraph"/>
        <w:numPr>
          <w:ilvl w:val="0"/>
          <w:numId w:val="2"/>
        </w:numPr>
        <w:spacing w:after="80"/>
      </w:pPr>
      <w:r>
        <w:t xml:space="preserve">Deterministic extraction for static fields (name, DOJ, DOL, CTC).</w:t>
      </w:r>
    </w:p>
    <w:p>
      <w:pPr>
        <w:pStyle w:val="ListParagraph"/>
        <w:numPr>
          <w:ilvl w:val="0"/>
          <w:numId w:val="2"/>
        </w:numPr>
        <w:spacing w:after="80"/>
      </w:pPr>
      <w:r>
        <w:t xml:space="preserve">Schema validation — if extracted fields didn’t match expected format, the case got flagged.</w:t>
      </w:r>
    </w:p>
    <w:p>
      <w:pPr>
        <w:pStyle w:val="Heading2"/>
        <w:spacing w:after="120" w:before="240"/>
      </w:pPr>
      <w:r>
        <w:t xml:space="preserve">Decisions — inbound decisioning</w:t>
      </w:r>
    </w:p>
    <w:p>
      <w:pPr>
        <w:pStyle w:val="ListParagraph"/>
        <w:numPr>
          <w:ilvl w:val="0"/>
          <w:numId w:val="2"/>
        </w:numPr>
        <w:spacing w:after="80"/>
      </w:pPr>
      <w:r>
        <w:t xml:space="preserve">LLM sentiment classification per qualitative field — code of conduct, eligibility for rehire, reason for leaving, handover, integrity concerns. Each returned positive / neutral / negative / unclear with a confidence score.</w:t>
      </w:r>
    </w:p>
    <w:p>
      <w:pPr>
        <w:pStyle w:val="ListParagraph"/>
        <w:numPr>
          <w:ilvl w:val="0"/>
          <w:numId w:val="2"/>
        </w:numPr>
        <w:spacing w:after="80"/>
      </w:pPr>
      <w:r>
        <w:t xml:space="preserve">Decisioning logic: any clear negative on a critical field escalates to human review. All positives/neutrals with high confidence auto-pass. Unclear / low-confidence to human review.</w:t>
      </w:r>
    </w:p>
    <w:p>
      <w:pPr>
        <w:pStyle w:val="ListParagraph"/>
        <w:numPr>
          <w:ilvl w:val="0"/>
          <w:numId w:val="2"/>
        </w:numPr>
        <w:spacing w:after="80"/>
      </w:pPr>
      <w:r>
        <w:t xml:space="preserve">Auto-closure: clean parsing + all positive/neutral high-confidence sentiment + no schema flags resulted in 32% auto-closure. The rest went to human review with LLM outputs pre-filled.</w:t>
      </w:r>
    </w:p>
    <w:p>
      <w:pPr>
        <w:pStyle w:val="Heading2"/>
        <w:spacing w:after="120" w:before="240"/>
      </w:pPr>
      <w:r>
        <w:t xml:space="preserve">Hard parts</w:t>
      </w:r>
    </w:p>
    <w:p>
      <w:pPr>
        <w:pStyle w:val="ListParagraph"/>
        <w:numPr>
          <w:ilvl w:val="0"/>
          <w:numId w:val="2"/>
        </w:numPr>
        <w:spacing w:after="80"/>
      </w:pPr>
      <w:r>
        <w:t xml:space="preserve">Sentiment on coded HR language — ‘let go for performance reasons’ vs ‘we chose not to continue the relationship’ vs ‘performance was below expectations.’ Tuning required a labeled training set of ~1,000 HR replies.</w:t>
      </w:r>
    </w:p>
    <w:p>
      <w:pPr>
        <w:pStyle w:val="ListParagraph"/>
        <w:numPr>
          <w:ilvl w:val="0"/>
          <w:numId w:val="2"/>
        </w:numPr>
        <w:spacing w:after="80"/>
      </w:pPr>
      <w:r>
        <w:t xml:space="preserve">Source variability — structured replies, free-form narrative, PDF attachments. Pipeline had to handle all.</w:t>
      </w:r>
    </w:p>
    <w:p>
      <w:pPr>
        <w:pStyle w:val="ListParagraph"/>
        <w:numPr>
          <w:ilvl w:val="0"/>
          <w:numId w:val="2"/>
        </w:numPr>
        <w:spacing w:after="80"/>
      </w:pPr>
      <w:r>
        <w:t xml:space="preserve">False negatives — a wrongly-cleared candidate could affect a client’s lending decision. Conservative thresholds throughout.</w:t>
      </w:r>
    </w:p>
    <w:p>
      <w:pPr>
        <w:pStyle w:val="ListParagraph"/>
        <w:numPr>
          <w:ilvl w:val="0"/>
          <w:numId w:val="2"/>
        </w:numPr>
        <w:spacing w:after="80"/>
      </w:pPr>
      <w:r>
        <w:t xml:space="preserve">Adoption with the ops team — the automation visibly threatened jobs. Handled with honest internal framing and reallocation of senior associates.</w:t>
      </w:r>
    </w:p>
    <w:p>
      <w:pPr>
        <w:pStyle w:val="Heading2"/>
        <w:spacing w:after="120" w:before="240"/>
      </w:pPr>
      <w:r>
        <w:t xml:space="preserve">Outcome</w:t>
      </w:r>
    </w:p>
    <w:p>
      <w:pPr>
        <w:pStyle w:val="ListParagraph"/>
        <w:numPr>
          <w:ilvl w:val="0"/>
          <w:numId w:val="2"/>
        </w:numPr>
        <w:spacing w:after="80"/>
      </w:pPr>
      <w:r>
        <w:t xml:space="preserve">~40 FTE worth of work automated.</w:t>
      </w:r>
    </w:p>
    <w:p>
      <w:pPr>
        <w:pStyle w:val="ListParagraph"/>
        <w:numPr>
          <w:ilvl w:val="0"/>
          <w:numId w:val="2"/>
        </w:numPr>
        <w:spacing w:after="80"/>
      </w:pPr>
      <w:r>
        <w:t xml:space="preserve">~Rs.10L/month in operational savings (40 × ~Rs.25K).</w:t>
      </w:r>
    </w:p>
    <w:p>
      <w:pPr>
        <w:pStyle w:val="ListParagraph"/>
        <w:numPr>
          <w:ilvl w:val="0"/>
          <w:numId w:val="2"/>
        </w:numPr>
        <w:spacing w:after="80"/>
      </w:pPr>
      <w:r>
        <w:t xml:space="preserve">32% of verification tickets auto-closed without human touch.</w:t>
      </w:r>
    </w:p>
    <w:p>
      <w:pPr>
        <w:pStyle w:val="ListParagraph"/>
        <w:numPr>
          <w:ilvl w:val="0"/>
          <w:numId w:val="2"/>
        </w:numPr>
        <w:spacing w:after="80"/>
      </w:pPr>
      <w:r>
        <w:t xml:space="preserve">Client TAT improved because the bottleneck (associate handling capacity) was largely removed.</w:t>
      </w:r>
    </w:p>
    <w:p>
      <w:r>
        <w:br w:type="page"/>
      </w:r>
    </w:p>
    <w:p>
      <w:pPr>
        <w:pStyle w:val="Heading1"/>
        <w:spacing w:after="180" w:before="360"/>
      </w:pPr>
      <w:r>
        <w:t xml:space="preserve">12. Verification Source Data Quality Engine</w:t>
      </w:r>
    </w:p>
    <w:p>
      <w:pPr>
        <w:spacing w:after="120"/>
      </w:pPr>
      <w:r>
        <w:rPr>
          <w:i/>
          <w:iCs/>
        </w:rPr>
        <w:t xml:space="preserve">AuthBridge — Name matching + MCA/GST collation + email history tracing</w:t>
      </w:r>
    </w:p>
    <w:p>
      <w:pPr>
        <w:spacing w:after="240"/>
      </w:pPr>
      <w:r>
        <w:rPr>
          <w:b/>
          <w:bCs/>
        </w:rPr>
        <w:t xml:space="preserve">Headline: </w:t>
      </w:r>
      <w:r>
        <w:t xml:space="preserve">Cleaned 100K+ records, eliminated 20K+ duplicates, unlocking the data foundation for employment verification automation.</w:t>
      </w:r>
    </w:p>
    <w:p>
      <w:pPr>
        <w:pStyle w:val="Heading2"/>
        <w:spacing w:after="120" w:before="240"/>
      </w:pPr>
      <w:r>
        <w:t xml:space="preserve">What it actually is</w:t>
      </w:r>
    </w:p>
    <w:p>
      <w:pPr>
        <w:spacing w:after="160"/>
      </w:pPr>
      <w:r>
        <w:t xml:space="preserve">To automate the employment verification flow, we needed a clean registry of verification sources — for each previous employer, the verified company entity (matched against MCA/GST) and the correct HR contact email address.</w:t>
      </w:r>
    </w:p>
    <w:p>
      <w:pPr>
        <w:spacing w:after="160"/>
      </w:pPr>
      <w:r>
        <w:t xml:space="preserve">The cleanup engine combined three things: fuzzy name matching against canonical entities, MCA/GST collation to verify the entity exists and capture canonical registration details, and email history tracing to identify which address had actually responded to verification requests in the past.</w:t>
      </w:r>
    </w:p>
    <w:p>
      <w:pPr>
        <w:pStyle w:val="Heading2"/>
        <w:spacing w:after="120" w:before="240"/>
      </w:pPr>
      <w:r>
        <w:t xml:space="preserve">The problem</w:t>
      </w:r>
    </w:p>
    <w:p>
      <w:pPr>
        <w:pStyle w:val="ListParagraph"/>
        <w:numPr>
          <w:ilvl w:val="0"/>
          <w:numId w:val="2"/>
        </w:numPr>
        <w:spacing w:after="80"/>
      </w:pPr>
      <w:r>
        <w:t xml:space="preserve">Entity ambiguity: candidates wrote employer names inconsistently — ‘ABC Tech,’ ‘ABC Technologies,’ ‘ABC Tech Pvt. Ltd.,’ ‘ABC Technologies Private Limited’ — all the same company. Thousands of duplicates.</w:t>
      </w:r>
    </w:p>
    <w:p>
      <w:pPr>
        <w:pStyle w:val="ListParagraph"/>
        <w:numPr>
          <w:ilvl w:val="0"/>
          <w:numId w:val="2"/>
        </w:numPr>
        <w:spacing w:after="80"/>
      </w:pPr>
      <w:r>
        <w:t xml:space="preserve">Contact rot: HR emails had been collected over years; many were stale.</w:t>
      </w:r>
    </w:p>
    <w:p>
      <w:pPr>
        <w:pStyle w:val="ListParagraph"/>
        <w:numPr>
          <w:ilvl w:val="0"/>
          <w:numId w:val="2"/>
        </w:numPr>
        <w:spacing w:after="80"/>
      </w:pPr>
      <w:r>
        <w:t xml:space="preserve">No canonical reference: without a clean entity, the LLM email-generation step couldn’t reliably pick the right past-correspondence examples to template from.</w:t>
      </w:r>
    </w:p>
    <w:p>
      <w:pPr>
        <w:pStyle w:val="Heading2"/>
        <w:spacing w:after="120" w:before="240"/>
      </w:pPr>
      <w:r>
        <w:t xml:space="preserve">Discovery</w:t>
      </w:r>
    </w:p>
    <w:p>
      <w:pPr>
        <w:pStyle w:val="ListParagraph"/>
        <w:numPr>
          <w:ilvl w:val="0"/>
          <w:numId w:val="2"/>
        </w:numPr>
        <w:spacing w:after="80"/>
      </w:pPr>
      <w:r>
        <w:t xml:space="preserve">Database audit: ~120K records, with name-based fuzzy clustering suggesting 20K+ duplicate entities.</w:t>
      </w:r>
    </w:p>
    <w:p>
      <w:pPr>
        <w:pStyle w:val="ListParagraph"/>
        <w:numPr>
          <w:ilvl w:val="0"/>
          <w:numId w:val="2"/>
        </w:numPr>
        <w:spacing w:after="80"/>
      </w:pPr>
      <w:r>
        <w:t xml:space="preserve">Bounce-rate analysis: meaningful share of outbound verification emails were bouncing or going unanswered, with rates highest in older records.</w:t>
      </w:r>
    </w:p>
    <w:p>
      <w:pPr>
        <w:pStyle w:val="ListParagraph"/>
        <w:numPr>
          <w:ilvl w:val="0"/>
          <w:numId w:val="2"/>
        </w:numPr>
        <w:spacing w:after="80"/>
      </w:pPr>
      <w:r>
        <w:t xml:space="preserve">Research team interviews: researchers spent 10–20 minutes per new source manually figuring out the right contact — LinkedIn, past emails, calling switchboards.</w:t>
      </w:r>
    </w:p>
    <w:p>
      <w:pPr>
        <w:pStyle w:val="Heading2"/>
        <w:spacing w:after="120" w:before="240"/>
      </w:pPr>
      <w:r>
        <w:t xml:space="preserve">Decisions — name matching</w:t>
      </w:r>
    </w:p>
    <w:p>
      <w:pPr>
        <w:pStyle w:val="ListParagraph"/>
        <w:numPr>
          <w:ilvl w:val="0"/>
          <w:numId w:val="2"/>
        </w:numPr>
        <w:spacing w:after="80"/>
      </w:pPr>
      <w:r>
        <w:t xml:space="preserve">Fuzzy matching using multiple signals — Levenshtein distance on cleaned names, token-set ratio for word reorderings, learned classifier on top for edge cases (acronyms, abbreviations).</w:t>
      </w:r>
    </w:p>
    <w:p>
      <w:pPr>
        <w:pStyle w:val="ListParagraph"/>
        <w:numPr>
          <w:ilvl w:val="0"/>
          <w:numId w:val="2"/>
        </w:numPr>
        <w:spacing w:after="80"/>
      </w:pPr>
      <w:r>
        <w:t xml:space="preserve">Confidence-graded — high confidence auto-merged, medium confidence to human review, low confidence kept separate.</w:t>
      </w:r>
    </w:p>
    <w:p>
      <w:pPr>
        <w:pStyle w:val="Heading2"/>
        <w:spacing w:after="120" w:before="240"/>
      </w:pPr>
      <w:r>
        <w:t xml:space="preserve">Decisions — MCA/GST collation</w:t>
      </w:r>
    </w:p>
    <w:p>
      <w:pPr>
        <w:pStyle w:val="ListParagraph"/>
        <w:numPr>
          <w:ilvl w:val="0"/>
          <w:numId w:val="2"/>
        </w:numPr>
        <w:spacing w:after="80"/>
      </w:pPr>
      <w:r>
        <w:t xml:space="preserve">For each candidate-name match, query MCA and GST databases for the canonical entity.</w:t>
      </w:r>
    </w:p>
    <w:p>
      <w:pPr>
        <w:pStyle w:val="ListParagraph"/>
        <w:numPr>
          <w:ilvl w:val="0"/>
          <w:numId w:val="2"/>
        </w:numPr>
        <w:spacing w:after="80"/>
      </w:pPr>
      <w:r>
        <w:t xml:space="preserve">Use registration data (incorporation date, registered address, GSTIN) as cross-validators when name matches were ambiguous.</w:t>
      </w:r>
    </w:p>
    <w:p>
      <w:pPr>
        <w:pStyle w:val="ListParagraph"/>
        <w:numPr>
          <w:ilvl w:val="0"/>
          <w:numId w:val="2"/>
        </w:numPr>
        <w:spacing w:after="80"/>
      </w:pPr>
      <w:r>
        <w:t xml:space="preserve">Record the canonical CIN and GSTIN with each source for future cross-referencing.</w:t>
      </w:r>
    </w:p>
    <w:p>
      <w:pPr>
        <w:pStyle w:val="Heading2"/>
        <w:spacing w:after="120" w:before="240"/>
      </w:pPr>
      <w:r>
        <w:t xml:space="preserve">Decisions — email history tracing</w:t>
      </w:r>
    </w:p>
    <w:p>
      <w:pPr>
        <w:pStyle w:val="ListParagraph"/>
        <w:numPr>
          <w:ilvl w:val="0"/>
          <w:numId w:val="2"/>
        </w:numPr>
        <w:spacing w:after="80"/>
      </w:pPr>
      <w:r>
        <w:t xml:space="preserve">For each verified entity, search the mail archive for which email addresses had actually responded to past verification requests.</w:t>
      </w:r>
    </w:p>
    <w:p>
      <w:pPr>
        <w:pStyle w:val="ListParagraph"/>
        <w:numPr>
          <w:ilvl w:val="0"/>
          <w:numId w:val="2"/>
        </w:numPr>
        <w:spacing w:after="80"/>
      </w:pPr>
      <w:r>
        <w:t xml:space="preserve">Rank candidate emails by recency and response success.</w:t>
      </w:r>
    </w:p>
    <w:p>
      <w:pPr>
        <w:pStyle w:val="ListParagraph"/>
        <w:numPr>
          <w:ilvl w:val="0"/>
          <w:numId w:val="2"/>
        </w:numPr>
        <w:spacing w:after="80"/>
      </w:pPr>
      <w:r>
        <w:t xml:space="preserve">Mark the highest-confidence working contact as canonical for that source.</w:t>
      </w:r>
    </w:p>
    <w:p>
      <w:pPr>
        <w:pStyle w:val="Heading2"/>
        <w:spacing w:after="120" w:before="240"/>
      </w:pPr>
      <w:r>
        <w:t xml:space="preserve">Hard parts</w:t>
      </w:r>
    </w:p>
    <w:p>
      <w:pPr>
        <w:pStyle w:val="ListParagraph"/>
        <w:numPr>
          <w:ilvl w:val="0"/>
          <w:numId w:val="2"/>
        </w:numPr>
        <w:spacing w:after="80"/>
      </w:pPr>
      <w:r>
        <w:t xml:space="preserve">False-positive merges — e.g., ‘Bharti Telecom’ vs ‘Bharati Telecom’ could get incorrectly merged. Used MCA/GST canonical IDs as disambiguator wherever available.</w:t>
      </w:r>
    </w:p>
    <w:p>
      <w:pPr>
        <w:pStyle w:val="ListParagraph"/>
        <w:numPr>
          <w:ilvl w:val="0"/>
          <w:numId w:val="2"/>
        </w:numPr>
        <w:spacing w:after="80"/>
      </w:pPr>
      <w:r>
        <w:t xml:space="preserve">Stale-but-correct emails — some HR contacts hadn’t replied in a while but were still valid. Didn’t drop automatically; flagged for verification.</w:t>
      </w:r>
    </w:p>
    <w:p>
      <w:pPr>
        <w:pStyle w:val="ListParagraph"/>
        <w:numPr>
          <w:ilvl w:val="0"/>
          <w:numId w:val="2"/>
        </w:numPr>
        <w:spacing w:after="80"/>
      </w:pPr>
      <w:r>
        <w:t xml:space="preserve">Subsidiaries and acquisitions — ‘Flipkart’ might map to a Myntra/Walmart-related entity. Built a related-entities graph to handle parent/child relationships.</w:t>
      </w:r>
    </w:p>
    <w:p>
      <w:pPr>
        <w:pStyle w:val="Heading2"/>
        <w:spacing w:after="120" w:before="240"/>
      </w:pPr>
      <w:r>
        <w:t xml:space="preserve">Outcome</w:t>
      </w:r>
    </w:p>
    <w:p>
      <w:pPr>
        <w:pStyle w:val="ListParagraph"/>
        <w:numPr>
          <w:ilvl w:val="0"/>
          <w:numId w:val="2"/>
        </w:numPr>
        <w:spacing w:after="80"/>
      </w:pPr>
      <w:r>
        <w:t xml:space="preserve">20K+ duplicate entries removed.</w:t>
      </w:r>
    </w:p>
    <w:p>
      <w:pPr>
        <w:pStyle w:val="ListParagraph"/>
        <w:numPr>
          <w:ilvl w:val="0"/>
          <w:numId w:val="2"/>
        </w:numPr>
        <w:spacing w:after="80"/>
      </w:pPr>
      <w:r>
        <w:t xml:space="preserve">Verification source DB compressed to a clean canonical set with MCA/GST cross-references.</w:t>
      </w:r>
    </w:p>
    <w:p>
      <w:pPr>
        <w:pStyle w:val="ListParagraph"/>
        <w:numPr>
          <w:ilvl w:val="0"/>
          <w:numId w:val="2"/>
        </w:numPr>
        <w:spacing w:after="80"/>
      </w:pPr>
      <w:r>
        <w:t xml:space="preserve">Research team source-lookup time dropped from 10–20 minutes per new source to near-zero for cases already in the clean registry.</w:t>
      </w:r>
    </w:p>
    <w:p>
      <w:pPr>
        <w:pStyle w:val="ListParagraph"/>
        <w:numPr>
          <w:ilvl w:val="0"/>
          <w:numId w:val="2"/>
        </w:numPr>
        <w:spacing w:after="80"/>
      </w:pPr>
      <w:r>
        <w:t xml:space="preserve">Email bounce rate on outbound verification emails dropped meaningfully.</w:t>
      </w:r>
    </w:p>
    <w:p>
      <w:pPr>
        <w:pStyle w:val="ListParagraph"/>
        <w:numPr>
          <w:ilvl w:val="0"/>
          <w:numId w:val="2"/>
        </w:numPr>
        <w:spacing w:after="80"/>
      </w:pPr>
      <w:r>
        <w:t xml:space="preserve">Data foundation for the employment verification automation was now solid.</w:t>
      </w:r>
    </w:p>
    <w:p>
      <w:r>
        <w:br w:type="page"/>
      </w:r>
    </w:p>
    <w:p>
      <w:pPr>
        <w:pStyle w:val="Heading1"/>
        <w:spacing w:after="180" w:before="360"/>
      </w:pPr>
      <w:r>
        <w:t xml:space="preserve">13. Bridge Workflow Automation — Umbrella Program</w:t>
      </w:r>
    </w:p>
    <w:p>
      <w:pPr>
        <w:spacing w:after="120"/>
      </w:pPr>
      <w:r>
        <w:rPr>
          <w:i/>
          <w:iCs/>
        </w:rPr>
        <w:t xml:space="preserve">AuthBridge — RPA + OCR + email automation + data cleanup across the Bridge operations platform</w:t>
      </w:r>
    </w:p>
    <w:p>
      <w:pPr>
        <w:spacing w:after="240"/>
      </w:pPr>
      <w:r>
        <w:rPr>
          <w:b/>
          <w:bCs/>
        </w:rPr>
        <w:t xml:space="preserve">Headline: </w:t>
      </w:r>
      <w:r>
        <w:t xml:space="preserve">Reduced manual operational dependency by 26% and cut systemic errors by 12% across high-volume verification workflows.</w:t>
      </w:r>
    </w:p>
    <w:p>
      <w:pPr>
        <w:pStyle w:val="Heading2"/>
        <w:spacing w:after="120" w:before="240"/>
      </w:pPr>
      <w:r>
        <w:t xml:space="preserve">What it actually is</w:t>
      </w:r>
    </w:p>
    <w:p>
      <w:pPr>
        <w:spacing w:after="160"/>
      </w:pPr>
      <w:r>
        <w:t xml:space="preserve">Bridge workflow automation was the umbrella for several automation initiatives on the Bridge operations platform. The combined effect of these automations is what produced the 26% manual operational dependency reduction and 12% systemic error reduction.</w:t>
      </w:r>
    </w:p>
    <w:p>
      <w:pPr>
        <w:pStyle w:val="ListParagraph"/>
        <w:numPr>
          <w:ilvl w:val="0"/>
          <w:numId w:val="2"/>
        </w:numPr>
        <w:spacing w:after="80"/>
      </w:pPr>
      <w:r>
        <w:t xml:space="preserve">Email reading and parsing (the employment verification automation).</w:t>
      </w:r>
    </w:p>
    <w:p>
      <w:pPr>
        <w:pStyle w:val="ListParagraph"/>
        <w:numPr>
          <w:ilvl w:val="0"/>
          <w:numId w:val="2"/>
        </w:numPr>
        <w:spacing w:after="80"/>
      </w:pPr>
      <w:r>
        <w:t xml:space="preserve">Data cleaning (the verification source cleanup).</w:t>
      </w:r>
    </w:p>
    <w:p>
      <w:pPr>
        <w:pStyle w:val="ListParagraph"/>
        <w:numPr>
          <w:ilvl w:val="0"/>
          <w:numId w:val="2"/>
        </w:numPr>
        <w:spacing w:after="80"/>
      </w:pPr>
      <w:r>
        <w:t xml:space="preserve">Document verification RPA — automating manual document checks via Robotic Process Automation.</w:t>
      </w:r>
    </w:p>
    <w:p>
      <w:pPr>
        <w:pStyle w:val="ListParagraph"/>
        <w:numPr>
          <w:ilvl w:val="0"/>
          <w:numId w:val="2"/>
        </w:numPr>
        <w:spacing w:after="80"/>
      </w:pPr>
      <w:r>
        <w:t xml:space="preserve">OCR implementation for data collection from incoming documents, removing dependency on QC team for data entry.</w:t>
      </w:r>
    </w:p>
    <w:p>
      <w:pPr>
        <w:pStyle w:val="Heading2"/>
        <w:spacing w:after="120" w:before="240"/>
      </w:pPr>
      <w:r>
        <w:t xml:space="preserve">Framing</w:t>
      </w:r>
    </w:p>
    <w:p>
      <w:pPr>
        <w:spacing w:after="160"/>
      </w:pPr>
      <w:r>
        <w:t xml:space="preserve">This was less a single product and more a multi-quarter program. Each component had its own discovery, design, and rollout, but they shared a thesis: Bridge’s verification operations had too many manual touchpoints, and each touchpoint was a cost line, an error source, and a TAT bottleneck.</w:t>
      </w:r>
    </w:p>
    <w:p>
      <w:pPr>
        <w:pStyle w:val="Heading2"/>
        <w:spacing w:after="120" w:before="240"/>
      </w:pPr>
      <w:r>
        <w:t xml:space="preserve">Cross-component discovery</w:t>
      </w:r>
    </w:p>
    <w:p>
      <w:pPr>
        <w:pStyle w:val="ListParagraph"/>
        <w:numPr>
          <w:ilvl w:val="0"/>
          <w:numId w:val="2"/>
        </w:numPr>
        <w:spacing w:after="80"/>
      </w:pPr>
      <w:r>
        <w:t xml:space="preserve">Operational mapping: every workflow on Bridge from input to output, every manual touchpoint marked, time + error rate estimated at each.</w:t>
      </w:r>
    </w:p>
    <w:p>
      <w:pPr>
        <w:pStyle w:val="ListParagraph"/>
        <w:numPr>
          <w:ilvl w:val="0"/>
          <w:numId w:val="2"/>
        </w:numPr>
        <w:spacing w:after="80"/>
      </w:pPr>
      <w:r>
        <w:t xml:space="preserve">Error attribution: 6 months of operational errors. ~60% were attributable to manual data handling — typos, missed fields, copy-paste errors, mis-routed cases.</w:t>
      </w:r>
    </w:p>
    <w:p>
      <w:pPr>
        <w:pStyle w:val="ListParagraph"/>
        <w:numPr>
          <w:ilvl w:val="0"/>
          <w:numId w:val="2"/>
        </w:numPr>
        <w:spacing w:after="80"/>
      </w:pPr>
      <w:r>
        <w:t xml:space="preserve">QC dependency analysis: the QC team was doing both quality control (legitimate) and rework (correcting upstream manual errors). The rework portion was waste.</w:t>
      </w:r>
    </w:p>
    <w:p>
      <w:pPr>
        <w:pStyle w:val="Heading2"/>
        <w:spacing w:after="120" w:before="240"/>
      </w:pPr>
      <w:r>
        <w:t xml:space="preserve">Decisions</w:t>
      </w:r>
    </w:p>
    <w:p>
      <w:pPr>
        <w:pStyle w:val="ListParagraph"/>
        <w:numPr>
          <w:ilvl w:val="0"/>
          <w:numId w:val="2"/>
        </w:numPr>
        <w:spacing w:after="80"/>
      </w:pPr>
      <w:r>
        <w:t xml:space="preserve">Sequencing: OCR + RPA on document workflows first (highest manual touch, lowest interpretive complexity). Email parsing + source cleanup next because they unlocked downstream automation.</w:t>
      </w:r>
    </w:p>
    <w:p>
      <w:pPr>
        <w:pStyle w:val="ListParagraph"/>
        <w:numPr>
          <w:ilvl w:val="0"/>
          <w:numId w:val="2"/>
        </w:numPr>
        <w:spacing w:after="80"/>
      </w:pPr>
      <w:r>
        <w:t xml:space="preserve">Tooling choice: commercial RPA platform rather than custom build — faster to ship, lower maintenance, workflows were structured enough. OCR via a mix of commercial APIs and tuned post-processing.</w:t>
      </w:r>
    </w:p>
    <w:p>
      <w:pPr>
        <w:pStyle w:val="ListParagraph"/>
        <w:numPr>
          <w:ilvl w:val="0"/>
          <w:numId w:val="2"/>
        </w:numPr>
        <w:spacing w:after="80"/>
      </w:pPr>
      <w:r>
        <w:t xml:space="preserve">Human-in-the-loop boundaries: every automation had a confidence threshold below which work routed to human review. Never tried to fully replace QC; shrunk its scope to actual quality judgment.</w:t>
      </w:r>
    </w:p>
    <w:p>
      <w:pPr>
        <w:pStyle w:val="Heading2"/>
        <w:spacing w:after="120" w:before="240"/>
      </w:pPr>
      <w:r>
        <w:t xml:space="preserve">Hard parts</w:t>
      </w:r>
    </w:p>
    <w:p>
      <w:pPr>
        <w:pStyle w:val="ListParagraph"/>
        <w:numPr>
          <w:ilvl w:val="0"/>
          <w:numId w:val="2"/>
        </w:numPr>
        <w:spacing w:after="80"/>
      </w:pPr>
      <w:r>
        <w:t xml:space="preserve">Adoption inside ops — multiple teams’ workflows changing simultaneously. Strong stakeholder management required.</w:t>
      </w:r>
    </w:p>
    <w:p>
      <w:pPr>
        <w:pStyle w:val="ListParagraph"/>
        <w:numPr>
          <w:ilvl w:val="0"/>
          <w:numId w:val="2"/>
        </w:numPr>
        <w:spacing w:after="80"/>
      </w:pPr>
      <w:r>
        <w:t xml:space="preserve">Long-tail edge cases — RPA bots break on UI changes or unexpected document formats. Maintenance burden was real and budgeted.</w:t>
      </w:r>
    </w:p>
    <w:p>
      <w:pPr>
        <w:pStyle w:val="ListParagraph"/>
        <w:numPr>
          <w:ilvl w:val="0"/>
          <w:numId w:val="2"/>
        </w:numPr>
        <w:spacing w:after="80"/>
      </w:pPr>
      <w:r>
        <w:t xml:space="preserve">Measurement — ‘26% reduction in manual dependency’ required defining baseline FTE-equivalent effort per workflow, then re-measuring post-automation. Invested time in measurement framework before claiming numbers.</w:t>
      </w:r>
    </w:p>
    <w:p>
      <w:pPr>
        <w:pStyle w:val="Heading2"/>
        <w:spacing w:after="120" w:before="240"/>
      </w:pPr>
      <w:r>
        <w:t xml:space="preserve">Outcome</w:t>
      </w:r>
    </w:p>
    <w:p>
      <w:pPr>
        <w:pStyle w:val="ListParagraph"/>
        <w:numPr>
          <w:ilvl w:val="0"/>
          <w:numId w:val="2"/>
        </w:numPr>
        <w:spacing w:after="80"/>
      </w:pPr>
      <w:r>
        <w:t xml:space="preserve">26% reduction in manual operational dependency across the program.</w:t>
      </w:r>
    </w:p>
    <w:p>
      <w:pPr>
        <w:pStyle w:val="ListParagraph"/>
        <w:numPr>
          <w:ilvl w:val="0"/>
          <w:numId w:val="2"/>
        </w:numPr>
        <w:spacing w:after="80"/>
      </w:pPr>
      <w:r>
        <w:t xml:space="preserve">12% reduction in systemic errors, mainly manual-handling errors that automation eliminated.</w:t>
      </w:r>
    </w:p>
    <w:p>
      <w:pPr>
        <w:pStyle w:val="ListParagraph"/>
        <w:numPr>
          <w:ilvl w:val="0"/>
          <w:numId w:val="2"/>
        </w:numPr>
        <w:spacing w:after="80"/>
      </w:pPr>
      <w:r>
        <w:t xml:space="preserve">QC team capacity effectively expanded — they stopped doing rework.</w:t>
      </w:r>
    </w:p>
    <w:p>
      <w:pPr>
        <w:pStyle w:val="ListParagraph"/>
        <w:numPr>
          <w:ilvl w:val="0"/>
          <w:numId w:val="2"/>
        </w:numPr>
        <w:spacing w:after="80"/>
      </w:pPr>
      <w:r>
        <w:t xml:space="preserve">TAT improvements that compounded across the Bridge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Journey</dc:title>
  <dc:creator>Surya Bhan Pratap Singh</dc:creator>
  <cp:lastModifiedBy>Un-named</cp:lastModifiedBy>
  <cp:revision>1</cp:revision>
  <dcterms:created xsi:type="dcterms:W3CDTF">2026-05-22T08:37:16.623Z</dcterms:created>
  <dcterms:modified xsi:type="dcterms:W3CDTF">2026-05-22T08:37:16.638Z</dcterms:modified>
</cp:coreProperties>
</file>

<file path=docProps/custom.xml><?xml version="1.0" encoding="utf-8"?>
<Properties xmlns="http://schemas.openxmlformats.org/officeDocument/2006/custom-properties" xmlns:vt="http://schemas.openxmlformats.org/officeDocument/2006/docPropsVTypes"/>
</file>