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45" w:rsidRPr="002B4B45" w:rsidRDefault="002B4B45" w:rsidP="002B4B45">
      <w:pPr>
        <w:shd w:val="clear" w:color="auto" w:fill="FFFFFF"/>
        <w:spacing w:after="120" w:line="360" w:lineRule="auto"/>
        <w:outlineLvl w:val="2"/>
        <w:rPr>
          <w:rFonts w:ascii="Segoe UI" w:eastAsia="Times New Roman" w:hAnsi="Segoe UI" w:cs="Segoe UI"/>
          <w:b/>
          <w:bCs/>
          <w:color w:val="44413D"/>
          <w:lang w:eastAsia="en-IN"/>
        </w:rPr>
      </w:pPr>
      <w:r w:rsidRPr="002B4B45">
        <w:rPr>
          <w:rFonts w:ascii="Segoe UI" w:eastAsia="Times New Roman" w:hAnsi="Segoe UI" w:cs="Segoe UI"/>
          <w:b/>
          <w:bCs/>
          <w:color w:val="44413D"/>
          <w:lang w:eastAsia="en-IN"/>
        </w:rPr>
        <w:t>Core Components</w:t>
      </w:r>
    </w:p>
    <w:p w:rsidR="002B4B45" w:rsidRPr="002B4B45" w:rsidRDefault="002B4B45" w:rsidP="002B4B45">
      <w:pPr>
        <w:numPr>
          <w:ilvl w:val="0"/>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Tables</w:t>
      </w:r>
      <w:r w:rsidRPr="002B4B45">
        <w:rPr>
          <w:rFonts w:ascii="Segoe UI" w:eastAsia="Times New Roman" w:hAnsi="Segoe UI" w:cs="Segoe UI"/>
          <w:color w:val="44413D"/>
          <w:lang w:eastAsia="en-IN"/>
        </w:rPr>
        <w:t> – a collection of items</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DynamoDB stores data in a table, which is a collection of data.</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Are schemaless.</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There is an initial limit of 256 tables per region.</w:t>
      </w:r>
    </w:p>
    <w:p w:rsidR="002B4B45" w:rsidRPr="002B4B45" w:rsidRDefault="002B4B45" w:rsidP="002B4B45">
      <w:pPr>
        <w:numPr>
          <w:ilvl w:val="0"/>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Items</w:t>
      </w:r>
      <w:r w:rsidRPr="002B4B45">
        <w:rPr>
          <w:rFonts w:ascii="Segoe UI" w:eastAsia="Times New Roman" w:hAnsi="Segoe UI" w:cs="Segoe UI"/>
          <w:color w:val="44413D"/>
          <w:lang w:eastAsia="en-IN"/>
        </w:rPr>
        <w:t> – a collection of attributes</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DynamoDB uses </w:t>
      </w:r>
      <w:r w:rsidRPr="002B4B45">
        <w:rPr>
          <w:rFonts w:ascii="Segoe UI" w:eastAsia="Times New Roman" w:hAnsi="Segoe UI" w:cs="Segoe UI"/>
          <w:b/>
          <w:bCs/>
          <w:color w:val="44413D"/>
          <w:lang w:eastAsia="en-IN"/>
        </w:rPr>
        <w:t>primary keys</w:t>
      </w:r>
      <w:r w:rsidRPr="002B4B45">
        <w:rPr>
          <w:rFonts w:ascii="Segoe UI" w:eastAsia="Times New Roman" w:hAnsi="Segoe UI" w:cs="Segoe UI"/>
          <w:color w:val="44413D"/>
          <w:lang w:eastAsia="en-IN"/>
        </w:rPr>
        <w:t> to uniquely identify each item in a table and </w:t>
      </w:r>
      <w:r w:rsidRPr="002B4B45">
        <w:rPr>
          <w:rFonts w:ascii="Segoe UI" w:eastAsia="Times New Roman" w:hAnsi="Segoe UI" w:cs="Segoe UI"/>
          <w:b/>
          <w:bCs/>
          <w:color w:val="44413D"/>
          <w:lang w:eastAsia="en-IN"/>
        </w:rPr>
        <w:t>secondary indexes</w:t>
      </w:r>
      <w:r w:rsidRPr="002B4B45">
        <w:rPr>
          <w:rFonts w:ascii="Segoe UI" w:eastAsia="Times New Roman" w:hAnsi="Segoe UI" w:cs="Segoe UI"/>
          <w:color w:val="44413D"/>
          <w:lang w:eastAsia="en-IN"/>
        </w:rPr>
        <w:t> to provide more querying flexibility.</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Each table contains zero or more items.</w:t>
      </w:r>
    </w:p>
    <w:p w:rsidR="002B4B45" w:rsidRPr="002B4B45" w:rsidRDefault="002B4B45" w:rsidP="002B4B45">
      <w:pPr>
        <w:numPr>
          <w:ilvl w:val="0"/>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Attributes </w:t>
      </w:r>
      <w:r w:rsidRPr="002B4B45">
        <w:rPr>
          <w:rFonts w:ascii="Segoe UI" w:eastAsia="Times New Roman" w:hAnsi="Segoe UI" w:cs="Segoe UI"/>
          <w:color w:val="44413D"/>
          <w:lang w:eastAsia="en-IN"/>
        </w:rPr>
        <w:t>– a fundamental data element</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DynamoDB supports nested attributes up to 32 levels deep.</w:t>
      </w:r>
    </w:p>
    <w:p w:rsidR="002B4B45" w:rsidRPr="002B4B45" w:rsidRDefault="002B4B45" w:rsidP="002B4B45">
      <w:pPr>
        <w:numPr>
          <w:ilvl w:val="0"/>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Primary Key </w:t>
      </w:r>
      <w:r w:rsidRPr="002B4B45">
        <w:rPr>
          <w:rFonts w:ascii="Segoe UI" w:eastAsia="Times New Roman" w:hAnsi="Segoe UI" w:cs="Segoe UI"/>
          <w:color w:val="44413D"/>
          <w:lang w:eastAsia="en-IN"/>
        </w:rPr>
        <w:t>– uniquely identifies each item in the table, so that no two items can have the same key. Must be scalar.</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Partition key</w:t>
      </w:r>
      <w:r w:rsidRPr="002B4B45">
        <w:rPr>
          <w:rFonts w:ascii="Segoe UI" w:eastAsia="Times New Roman" w:hAnsi="Segoe UI" w:cs="Segoe UI"/>
          <w:color w:val="44413D"/>
          <w:lang w:eastAsia="en-IN"/>
        </w:rPr>
        <w:t> – a simple primary key, composed of one attribute.</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Partition key and sort key</w:t>
      </w:r>
      <w:r w:rsidRPr="002B4B45">
        <w:rPr>
          <w:rFonts w:ascii="Segoe UI" w:eastAsia="Times New Roman" w:hAnsi="Segoe UI" w:cs="Segoe UI"/>
          <w:color w:val="44413D"/>
          <w:lang w:eastAsia="en-IN"/>
        </w:rPr>
        <w:t> (</w:t>
      </w:r>
      <w:r w:rsidRPr="002B4B45">
        <w:rPr>
          <w:rFonts w:ascii="Segoe UI" w:eastAsia="Times New Roman" w:hAnsi="Segoe UI" w:cs="Segoe UI"/>
          <w:i/>
          <w:iCs/>
          <w:color w:val="44413D"/>
          <w:lang w:eastAsia="en-IN"/>
        </w:rPr>
        <w:t>composite primary key</w:t>
      </w:r>
      <w:r w:rsidRPr="002B4B45">
        <w:rPr>
          <w:rFonts w:ascii="Segoe UI" w:eastAsia="Times New Roman" w:hAnsi="Segoe UI" w:cs="Segoe UI"/>
          <w:color w:val="44413D"/>
          <w:lang w:eastAsia="en-IN"/>
        </w:rPr>
        <w:t>) – composed of two attributes.</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DynamoDB uses the partition key value as input to an internal hash function. The output from the hash function determines the partition in which the item will be stored. All items with the same partition key are stored together, in sorted order by sort key value. If no sort key is used, no two items can have the same partition key value.</w:t>
      </w:r>
    </w:p>
    <w:p w:rsidR="002B4B45" w:rsidRPr="002B4B45" w:rsidRDefault="002B4B45" w:rsidP="002B4B45">
      <w:pPr>
        <w:numPr>
          <w:ilvl w:val="0"/>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Secondary Indexes </w:t>
      </w:r>
      <w:r w:rsidRPr="002B4B45">
        <w:rPr>
          <w:rFonts w:ascii="Segoe UI" w:eastAsia="Times New Roman" w:hAnsi="Segoe UI" w:cs="Segoe UI"/>
          <w:color w:val="44413D"/>
          <w:lang w:eastAsia="en-IN"/>
        </w:rPr>
        <w:t>– lets you query the data in the table using an alternate key, in addition to queries against the primary key.</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You can create one or more secondary indexes on a table.</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Two kinds of indexes:</w:t>
      </w:r>
    </w:p>
    <w:p w:rsidR="002B4B45" w:rsidRPr="002B4B45" w:rsidRDefault="002B4B45" w:rsidP="002B4B45">
      <w:pPr>
        <w:numPr>
          <w:ilvl w:val="2"/>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Global secondary index</w:t>
      </w:r>
      <w:r w:rsidRPr="002B4B45">
        <w:rPr>
          <w:rFonts w:ascii="Segoe UI" w:eastAsia="Times New Roman" w:hAnsi="Segoe UI" w:cs="Segoe UI"/>
          <w:color w:val="44413D"/>
          <w:lang w:eastAsia="en-IN"/>
        </w:rPr>
        <w:t> – An index with a partition key and sort key that can be different from those on the table.</w:t>
      </w:r>
    </w:p>
    <w:p w:rsidR="002B4B45" w:rsidRPr="002B4B45" w:rsidRDefault="002B4B45" w:rsidP="002B4B45">
      <w:pPr>
        <w:numPr>
          <w:ilvl w:val="2"/>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lastRenderedPageBreak/>
        <w:t>Local secondary index</w:t>
      </w:r>
      <w:r w:rsidRPr="002B4B45">
        <w:rPr>
          <w:rFonts w:ascii="Segoe UI" w:eastAsia="Times New Roman" w:hAnsi="Segoe UI" w:cs="Segoe UI"/>
          <w:color w:val="44413D"/>
          <w:lang w:eastAsia="en-IN"/>
        </w:rPr>
        <w:t> – An index that has the same partition key as the table, but a different sort key.</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highlight w:val="yellow"/>
          <w:lang w:eastAsia="en-IN"/>
        </w:rPr>
      </w:pPr>
      <w:r w:rsidRPr="002B4B45">
        <w:rPr>
          <w:rFonts w:ascii="Segoe UI" w:eastAsia="Times New Roman" w:hAnsi="Segoe UI" w:cs="Segoe UI"/>
          <w:color w:val="44413D"/>
          <w:highlight w:val="yellow"/>
          <w:lang w:eastAsia="en-IN"/>
        </w:rPr>
        <w:t>You can define up to 20 global secondary indexes and 5 local secondary indexes per table.</w:t>
      </w:r>
    </w:p>
    <w:p w:rsidR="002B4B45" w:rsidRPr="002B4B45" w:rsidRDefault="002B4B45" w:rsidP="002B4B45">
      <w:pPr>
        <w:numPr>
          <w:ilvl w:val="0"/>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DynamoDB Streams </w:t>
      </w:r>
      <w:r w:rsidRPr="002B4B45">
        <w:rPr>
          <w:rFonts w:ascii="Segoe UI" w:eastAsia="Times New Roman" w:hAnsi="Segoe UI" w:cs="Segoe UI"/>
          <w:color w:val="44413D"/>
          <w:lang w:eastAsia="en-IN"/>
        </w:rPr>
        <w:t>– an optional feature that captures data modification events in DynamoDB tables.</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The naming convention for DynamoDB Streams endpoints is </w:t>
      </w:r>
      <w:r w:rsidRPr="002B4B45">
        <w:rPr>
          <w:rFonts w:ascii="Segoe UI" w:eastAsia="Times New Roman" w:hAnsi="Segoe UI" w:cs="Segoe UI"/>
          <w:i/>
          <w:iCs/>
          <w:color w:val="44413D"/>
          <w:lang w:eastAsia="en-IN"/>
        </w:rPr>
        <w:t>streams.dynamodb..amazonaws.com</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Each event is represented by a </w:t>
      </w:r>
      <w:r w:rsidRPr="002B4B45">
        <w:rPr>
          <w:rFonts w:ascii="Segoe UI" w:eastAsia="Times New Roman" w:hAnsi="Segoe UI" w:cs="Segoe UI"/>
          <w:i/>
          <w:iCs/>
          <w:color w:val="44413D"/>
          <w:lang w:eastAsia="en-IN"/>
        </w:rPr>
        <w:t>stream record</w:t>
      </w:r>
      <w:r w:rsidRPr="002B4B45">
        <w:rPr>
          <w:rFonts w:ascii="Segoe UI" w:eastAsia="Times New Roman" w:hAnsi="Segoe UI" w:cs="Segoe UI"/>
          <w:color w:val="44413D"/>
          <w:lang w:eastAsia="en-IN"/>
        </w:rPr>
        <w:t>, and captures the following events:</w:t>
      </w:r>
    </w:p>
    <w:p w:rsidR="002B4B45" w:rsidRPr="002B4B45" w:rsidRDefault="002B4B45" w:rsidP="002B4B45">
      <w:pPr>
        <w:numPr>
          <w:ilvl w:val="2"/>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A new item is added to the table: captures an image of the entire item, including all of its attributes.</w:t>
      </w:r>
    </w:p>
    <w:p w:rsidR="002B4B45" w:rsidRPr="002B4B45" w:rsidRDefault="002B4B45" w:rsidP="002B4B45">
      <w:pPr>
        <w:numPr>
          <w:ilvl w:val="2"/>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An item is updated: captures the “before” and “after” image of any attributes that were modified in the item.</w:t>
      </w:r>
    </w:p>
    <w:p w:rsidR="002B4B45" w:rsidRPr="002B4B45" w:rsidRDefault="002B4B45" w:rsidP="002B4B45">
      <w:pPr>
        <w:numPr>
          <w:ilvl w:val="2"/>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An item is deleted from the table: captures an image of the entire item before it was deleted.</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Each stream record also contains the name of the table, the event timestamp, and other metadata.</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highlight w:val="yellow"/>
          <w:lang w:eastAsia="en-IN"/>
        </w:rPr>
      </w:pPr>
      <w:r w:rsidRPr="002B4B45">
        <w:rPr>
          <w:rFonts w:ascii="Segoe UI" w:eastAsia="Times New Roman" w:hAnsi="Segoe UI" w:cs="Segoe UI"/>
          <w:color w:val="44413D"/>
          <w:lang w:eastAsia="en-IN"/>
        </w:rPr>
        <w:t>Stream records are organized into groups, or </w:t>
      </w:r>
      <w:r w:rsidRPr="002B4B45">
        <w:rPr>
          <w:rFonts w:ascii="Segoe UI" w:eastAsia="Times New Roman" w:hAnsi="Segoe UI" w:cs="Segoe UI"/>
          <w:b/>
          <w:bCs/>
          <w:i/>
          <w:iCs/>
          <w:color w:val="44413D"/>
          <w:highlight w:val="yellow"/>
          <w:lang w:eastAsia="en-IN"/>
        </w:rPr>
        <w:t>shards</w:t>
      </w:r>
      <w:r w:rsidRPr="002B4B45">
        <w:rPr>
          <w:rFonts w:ascii="Segoe UI" w:eastAsia="Times New Roman" w:hAnsi="Segoe UI" w:cs="Segoe UI"/>
          <w:color w:val="44413D"/>
          <w:highlight w:val="yellow"/>
          <w:lang w:eastAsia="en-IN"/>
        </w:rPr>
        <w:t>. Each shard acts as a container for multiple stream records, and contains information required for accessing and iterating through these records.</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highlight w:val="yellow"/>
          <w:lang w:eastAsia="en-IN"/>
        </w:rPr>
      </w:pPr>
      <w:r w:rsidRPr="002B4B45">
        <w:rPr>
          <w:rFonts w:ascii="Segoe UI" w:eastAsia="Times New Roman" w:hAnsi="Segoe UI" w:cs="Segoe UI"/>
          <w:color w:val="44413D"/>
          <w:highlight w:val="yellow"/>
          <w:lang w:eastAsia="en-IN"/>
        </w:rPr>
        <w:t>Stream records have a lifetime of 24 hours; after that, they are automatically removed from the stream.</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t>You can use DynamoDB Streams together with AWS Lambda to create a </w:t>
      </w:r>
      <w:r w:rsidRPr="002B4B45">
        <w:rPr>
          <w:rFonts w:ascii="Segoe UI" w:eastAsia="Times New Roman" w:hAnsi="Segoe UI" w:cs="Segoe UI"/>
          <w:i/>
          <w:iCs/>
          <w:color w:val="44413D"/>
          <w:lang w:eastAsia="en-IN"/>
        </w:rPr>
        <w:t>trigger</w:t>
      </w:r>
      <w:r w:rsidRPr="002B4B45">
        <w:rPr>
          <w:rFonts w:ascii="Segoe UI" w:eastAsia="Times New Roman" w:hAnsi="Segoe UI" w:cs="Segoe UI"/>
          <w:color w:val="44413D"/>
          <w:lang w:eastAsia="en-IN"/>
        </w:rPr>
        <w:t>, which is a code that executes automatically whenever an event of interest appears in a stream.</w:t>
      </w:r>
    </w:p>
    <w:p w:rsidR="002B4B45" w:rsidRPr="002B4B45" w:rsidRDefault="002B4B45" w:rsidP="002B4B45">
      <w:pPr>
        <w:numPr>
          <w:ilvl w:val="1"/>
          <w:numId w:val="1"/>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color w:val="44413D"/>
          <w:lang w:eastAsia="en-IN"/>
        </w:rPr>
        <w:lastRenderedPageBreak/>
        <w:t>DynamoDB Streams enables powerful solutions such as data replication within and across Regions, materialized views of data in DynamoDB tables, data analysis using Kinesis materialized views, and much more.</w:t>
      </w:r>
    </w:p>
    <w:p w:rsidR="002B4B45" w:rsidRPr="002B4B45" w:rsidRDefault="002B4B45" w:rsidP="002B4B45">
      <w:pPr>
        <w:shd w:val="clear" w:color="auto" w:fill="FFFFFF"/>
        <w:spacing w:after="120" w:line="360" w:lineRule="auto"/>
        <w:jc w:val="center"/>
        <w:rPr>
          <w:rFonts w:ascii="Segoe UI" w:eastAsia="Times New Roman" w:hAnsi="Segoe UI" w:cs="Segoe UI"/>
          <w:color w:val="44413D"/>
          <w:lang w:eastAsia="en-IN"/>
        </w:rPr>
      </w:pPr>
      <w:r w:rsidRPr="002B4B45">
        <w:rPr>
          <w:rFonts w:ascii="Segoe UI" w:eastAsia="Times New Roman" w:hAnsi="Segoe UI" w:cs="Segoe UI"/>
          <w:noProof/>
          <w:color w:val="44413D"/>
          <w:lang w:eastAsia="en-IN"/>
        </w:rPr>
        <w:drawing>
          <wp:inline distT="0" distB="0" distL="0" distR="0">
            <wp:extent cx="4457700" cy="2674620"/>
            <wp:effectExtent l="0" t="0" r="0" b="0"/>
            <wp:docPr id="1" name="Picture 1" descr="AWS Training Amazon DynamoD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Training Amazon DynamoDB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674620"/>
                    </a:xfrm>
                    <a:prstGeom prst="rect">
                      <a:avLst/>
                    </a:prstGeom>
                    <a:noFill/>
                    <a:ln>
                      <a:noFill/>
                    </a:ln>
                  </pic:spPr>
                </pic:pic>
              </a:graphicData>
            </a:graphic>
          </wp:inline>
        </w:drawing>
      </w:r>
    </w:p>
    <w:p w:rsidR="002B4B45" w:rsidRPr="002B4B45" w:rsidRDefault="002B4B45" w:rsidP="002B4B45">
      <w:pPr>
        <w:shd w:val="clear" w:color="auto" w:fill="FFFFFF"/>
        <w:spacing w:after="120" w:line="360" w:lineRule="auto"/>
        <w:outlineLvl w:val="2"/>
        <w:rPr>
          <w:rFonts w:ascii="Segoe UI" w:eastAsia="Times New Roman" w:hAnsi="Segoe UI" w:cs="Segoe UI"/>
          <w:b/>
          <w:bCs/>
          <w:color w:val="44413D"/>
          <w:lang w:eastAsia="en-IN"/>
        </w:rPr>
      </w:pPr>
      <w:r w:rsidRPr="002B4B45">
        <w:rPr>
          <w:rFonts w:ascii="Segoe UI" w:eastAsia="Times New Roman" w:hAnsi="Segoe UI" w:cs="Segoe UI"/>
          <w:b/>
          <w:bCs/>
          <w:color w:val="44413D"/>
          <w:highlight w:val="yellow"/>
          <w:lang w:eastAsia="en-IN"/>
        </w:rPr>
        <w:t>Data Types for Attributes</w:t>
      </w:r>
    </w:p>
    <w:p w:rsidR="002B4B45" w:rsidRPr="002B4B45" w:rsidRDefault="002B4B45" w:rsidP="002B4B45">
      <w:pPr>
        <w:numPr>
          <w:ilvl w:val="0"/>
          <w:numId w:val="2"/>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Scalar Types</w:t>
      </w:r>
      <w:r w:rsidRPr="002B4B45">
        <w:rPr>
          <w:rFonts w:ascii="Segoe UI" w:eastAsia="Times New Roman" w:hAnsi="Segoe UI" w:cs="Segoe UI"/>
          <w:color w:val="44413D"/>
          <w:lang w:eastAsia="en-IN"/>
        </w:rPr>
        <w:t xml:space="preserve"> – A scalar type can </w:t>
      </w:r>
      <w:r w:rsidRPr="002B4B45">
        <w:rPr>
          <w:rFonts w:ascii="Segoe UI" w:eastAsia="Times New Roman" w:hAnsi="Segoe UI" w:cs="Segoe UI"/>
          <w:color w:val="44413D"/>
          <w:highlight w:val="yellow"/>
          <w:lang w:eastAsia="en-IN"/>
        </w:rPr>
        <w:t>represent exactly one value</w:t>
      </w:r>
      <w:r w:rsidRPr="002B4B45">
        <w:rPr>
          <w:rFonts w:ascii="Segoe UI" w:eastAsia="Times New Roman" w:hAnsi="Segoe UI" w:cs="Segoe UI"/>
          <w:color w:val="44413D"/>
          <w:lang w:eastAsia="en-IN"/>
        </w:rPr>
        <w:t>. The scalar types are number, string, binary, Boolean, and null. Primary keys should be scalar types.</w:t>
      </w:r>
    </w:p>
    <w:p w:rsidR="002B4B45" w:rsidRPr="002B4B45" w:rsidRDefault="002B4B45" w:rsidP="002B4B45">
      <w:pPr>
        <w:numPr>
          <w:ilvl w:val="0"/>
          <w:numId w:val="2"/>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Document Types</w:t>
      </w:r>
      <w:r w:rsidRPr="002B4B45">
        <w:rPr>
          <w:rFonts w:ascii="Segoe UI" w:eastAsia="Times New Roman" w:hAnsi="Segoe UI" w:cs="Segoe UI"/>
          <w:color w:val="44413D"/>
          <w:lang w:eastAsia="en-IN"/>
        </w:rPr>
        <w:t xml:space="preserve"> – A document type can represent a complex structure with nested attributes—such as you would find in a </w:t>
      </w:r>
      <w:r w:rsidRPr="002B4B45">
        <w:rPr>
          <w:rFonts w:ascii="Segoe UI" w:eastAsia="Times New Roman" w:hAnsi="Segoe UI" w:cs="Segoe UI"/>
          <w:color w:val="44413D"/>
          <w:highlight w:val="yellow"/>
          <w:lang w:eastAsia="en-IN"/>
        </w:rPr>
        <w:t>JSON document</w:t>
      </w:r>
      <w:bookmarkStart w:id="0" w:name="_GoBack"/>
      <w:bookmarkEnd w:id="0"/>
      <w:r w:rsidRPr="002B4B45">
        <w:rPr>
          <w:rFonts w:ascii="Segoe UI" w:eastAsia="Times New Roman" w:hAnsi="Segoe UI" w:cs="Segoe UI"/>
          <w:color w:val="44413D"/>
          <w:lang w:eastAsia="en-IN"/>
        </w:rPr>
        <w:t>. The document types are list and map.</w:t>
      </w:r>
    </w:p>
    <w:p w:rsidR="002B4B45" w:rsidRPr="002B4B45" w:rsidRDefault="002B4B45" w:rsidP="002B4B45">
      <w:pPr>
        <w:numPr>
          <w:ilvl w:val="0"/>
          <w:numId w:val="2"/>
        </w:numPr>
        <w:shd w:val="clear" w:color="auto" w:fill="FFFFFF"/>
        <w:spacing w:after="120" w:line="360" w:lineRule="auto"/>
        <w:rPr>
          <w:rFonts w:ascii="Segoe UI" w:eastAsia="Times New Roman" w:hAnsi="Segoe UI" w:cs="Segoe UI"/>
          <w:color w:val="44413D"/>
          <w:lang w:eastAsia="en-IN"/>
        </w:rPr>
      </w:pPr>
      <w:r w:rsidRPr="002B4B45">
        <w:rPr>
          <w:rFonts w:ascii="Segoe UI" w:eastAsia="Times New Roman" w:hAnsi="Segoe UI" w:cs="Segoe UI"/>
          <w:b/>
          <w:bCs/>
          <w:color w:val="44413D"/>
          <w:lang w:eastAsia="en-IN"/>
        </w:rPr>
        <w:t>Set Types</w:t>
      </w:r>
      <w:r w:rsidRPr="002B4B45">
        <w:rPr>
          <w:rFonts w:ascii="Segoe UI" w:eastAsia="Times New Roman" w:hAnsi="Segoe UI" w:cs="Segoe UI"/>
          <w:color w:val="44413D"/>
          <w:lang w:eastAsia="en-IN"/>
        </w:rPr>
        <w:t> – A set type can represent multiple scalar values. The set types are string set, number set, and binary set.</w:t>
      </w:r>
    </w:p>
    <w:p w:rsidR="00FA1EE5" w:rsidRPr="002B4B45" w:rsidRDefault="00FA1EE5" w:rsidP="002B4B45">
      <w:pPr>
        <w:spacing w:after="120" w:line="360" w:lineRule="auto"/>
        <w:rPr>
          <w:rFonts w:ascii="Segoe UI" w:hAnsi="Segoe UI" w:cs="Segoe UI"/>
        </w:rPr>
      </w:pPr>
    </w:p>
    <w:sectPr w:rsidR="00FA1EE5" w:rsidRPr="002B4B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15A05"/>
    <w:multiLevelType w:val="multilevel"/>
    <w:tmpl w:val="8EF2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0592D"/>
    <w:multiLevelType w:val="multilevel"/>
    <w:tmpl w:val="BE0C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45"/>
    <w:rsid w:val="002B4B45"/>
    <w:rsid w:val="00FA1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EE0B7-D9B4-4DFE-9E92-E78BDF01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4B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4B4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4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630468">
      <w:bodyDiv w:val="1"/>
      <w:marLeft w:val="0"/>
      <w:marRight w:val="0"/>
      <w:marTop w:val="0"/>
      <w:marBottom w:val="0"/>
      <w:divBdr>
        <w:top w:val="none" w:sz="0" w:space="0" w:color="auto"/>
        <w:left w:val="none" w:sz="0" w:space="0" w:color="auto"/>
        <w:bottom w:val="none" w:sz="0" w:space="0" w:color="auto"/>
        <w:right w:val="none" w:sz="0" w:space="0" w:color="auto"/>
      </w:divBdr>
    </w:div>
    <w:div w:id="15687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1</cp:revision>
  <dcterms:created xsi:type="dcterms:W3CDTF">2022-08-15T10:46:00Z</dcterms:created>
  <dcterms:modified xsi:type="dcterms:W3CDTF">2022-08-15T10:55:00Z</dcterms:modified>
</cp:coreProperties>
</file>