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0522FF" w14:textId="77777777" w:rsidR="00936E0B" w:rsidRPr="00936E0B" w:rsidRDefault="00936E0B" w:rsidP="00936E0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936E0B">
        <w:rPr>
          <w:rFonts w:ascii="Times New Roman" w:eastAsia="Times New Roman" w:hAnsi="Times New Roman" w:cs="Times New Roman"/>
          <w:b/>
          <w:bCs/>
          <w:kern w:val="0"/>
          <w:sz w:val="27"/>
          <w:szCs w:val="27"/>
          <w:lang w:eastAsia="en-GB"/>
          <w14:ligatures w14:val="none"/>
        </w:rPr>
        <w:t>Social Cause: COVID-19 Pandemic and Global Health Equity</w:t>
      </w:r>
    </w:p>
    <w:p w14:paraId="081C635C" w14:textId="191E67A2" w:rsidR="00936E0B" w:rsidRPr="00936E0B" w:rsidRDefault="00936E0B" w:rsidP="00936E0B">
      <w:pPr>
        <w:spacing w:before="100" w:beforeAutospacing="1" w:after="100" w:afterAutospacing="1" w:line="240" w:lineRule="auto"/>
        <w:rPr>
          <w:rFonts w:ascii="Times New Roman" w:eastAsia="Times New Roman" w:hAnsi="Times New Roman" w:cs="Times New Roman"/>
          <w:kern w:val="0"/>
          <w:lang w:eastAsia="en-GB"/>
          <w14:ligatures w14:val="none"/>
        </w:rPr>
      </w:pPr>
      <w:r w:rsidRPr="00936E0B">
        <w:rPr>
          <w:rFonts w:ascii="Times New Roman" w:eastAsia="Times New Roman" w:hAnsi="Times New Roman" w:cs="Times New Roman"/>
          <w:kern w:val="0"/>
          <w:lang w:eastAsia="en-GB"/>
          <w14:ligatures w14:val="none"/>
        </w:rPr>
        <w:t xml:space="preserve">The COVID-19 pandemic has underscored deep global disparities in healthcare access, highlighting critical inequalities that affect nations differently based on resources, healthcare infrastructure, and economic conditions. The visualizations developed in this dashboard aim to bridge the gap between complex </w:t>
      </w:r>
      <w:r>
        <w:rPr>
          <w:rFonts w:ascii="Times New Roman" w:eastAsia="Times New Roman" w:hAnsi="Times New Roman" w:cs="Times New Roman"/>
          <w:kern w:val="0"/>
          <w:lang w:eastAsia="en-GB"/>
          <w14:ligatures w14:val="none"/>
        </w:rPr>
        <w:t>data</w:t>
      </w:r>
      <w:r w:rsidRPr="00936E0B">
        <w:rPr>
          <w:rFonts w:ascii="Times New Roman" w:eastAsia="Times New Roman" w:hAnsi="Times New Roman" w:cs="Times New Roman"/>
          <w:kern w:val="0"/>
          <w:lang w:eastAsia="en-GB"/>
          <w14:ligatures w14:val="none"/>
        </w:rPr>
        <w:t xml:space="preserve"> and</w:t>
      </w:r>
      <w:r>
        <w:rPr>
          <w:rFonts w:ascii="Times New Roman" w:eastAsia="Times New Roman" w:hAnsi="Times New Roman" w:cs="Times New Roman"/>
          <w:kern w:val="0"/>
          <w:lang w:eastAsia="en-GB"/>
          <w14:ligatures w14:val="none"/>
        </w:rPr>
        <w:t xml:space="preserve"> provide</w:t>
      </w:r>
      <w:r w:rsidRPr="00936E0B">
        <w:rPr>
          <w:rFonts w:ascii="Times New Roman" w:eastAsia="Times New Roman" w:hAnsi="Times New Roman" w:cs="Times New Roman"/>
          <w:kern w:val="0"/>
          <w:lang w:eastAsia="en-GB"/>
          <w14:ligatures w14:val="none"/>
        </w:rPr>
        <w:t xml:space="preserve"> actionable insights, specifically designed for public health officials, policymakers, and concerned citizens. By turning intricate data into clear visuals, the dashboard empowers stakeholders to understand pandemic impacts, formulate targeted health interventions, and improve policy responses to foster global health equity.</w:t>
      </w:r>
    </w:p>
    <w:p w14:paraId="441C8847" w14:textId="77777777" w:rsidR="00936E0B" w:rsidRPr="00936E0B" w:rsidRDefault="00936E0B" w:rsidP="00936E0B">
      <w:pPr>
        <w:spacing w:before="100" w:beforeAutospacing="1" w:after="100" w:afterAutospacing="1" w:line="240" w:lineRule="auto"/>
        <w:rPr>
          <w:rFonts w:ascii="Times New Roman" w:eastAsia="Times New Roman" w:hAnsi="Times New Roman" w:cs="Times New Roman"/>
          <w:kern w:val="0"/>
          <w:lang w:eastAsia="en-GB"/>
          <w14:ligatures w14:val="none"/>
        </w:rPr>
      </w:pPr>
      <w:r w:rsidRPr="00936E0B">
        <w:rPr>
          <w:rFonts w:ascii="Times New Roman" w:eastAsia="Times New Roman" w:hAnsi="Times New Roman" w:cs="Times New Roman"/>
          <w:kern w:val="0"/>
          <w:lang w:eastAsia="en-GB"/>
          <w14:ligatures w14:val="none"/>
        </w:rPr>
        <w:t>The interactive global heatmap effectively visualizes the spread and intensity of COVID-19 cases, deaths, and vaccinations, immediately drawing attention to areas needing urgent support. This visualization helps health officials rapidly identify and prioritize resource allocation, especially in regions experiencing higher infection rates or inadequate vaccination coverage.</w:t>
      </w:r>
    </w:p>
    <w:p w14:paraId="15A4ED0E" w14:textId="77777777" w:rsidR="00936E0B" w:rsidRPr="00936E0B" w:rsidRDefault="00936E0B" w:rsidP="00936E0B">
      <w:pPr>
        <w:spacing w:before="100" w:beforeAutospacing="1" w:after="100" w:afterAutospacing="1" w:line="240" w:lineRule="auto"/>
        <w:rPr>
          <w:rFonts w:ascii="Times New Roman" w:eastAsia="Times New Roman" w:hAnsi="Times New Roman" w:cs="Times New Roman"/>
          <w:kern w:val="0"/>
          <w:lang w:eastAsia="en-GB"/>
          <w14:ligatures w14:val="none"/>
        </w:rPr>
      </w:pPr>
      <w:r w:rsidRPr="00936E0B">
        <w:rPr>
          <w:rFonts w:ascii="Times New Roman" w:eastAsia="Times New Roman" w:hAnsi="Times New Roman" w:cs="Times New Roman"/>
          <w:kern w:val="0"/>
          <w:lang w:eastAsia="en-GB"/>
          <w14:ligatures w14:val="none"/>
        </w:rPr>
        <w:t>Detailed region-specific visualizations provide granular insights, such as vaccination progress and demographic risk factors, enabling policymakers to assess the effectiveness of vaccination campaigns and identify vulnerable populations. Circular progress indicators and stacked bar charts clearly depict vaccination statuses, making it easy to recognize areas lagging behind and prompting timely intervention.</w:t>
      </w:r>
    </w:p>
    <w:p w14:paraId="7326DCB8" w14:textId="77777777" w:rsidR="00936E0B" w:rsidRPr="00936E0B" w:rsidRDefault="00936E0B" w:rsidP="00936E0B">
      <w:pPr>
        <w:spacing w:before="100" w:beforeAutospacing="1" w:after="100" w:afterAutospacing="1" w:line="240" w:lineRule="auto"/>
        <w:rPr>
          <w:rFonts w:ascii="Times New Roman" w:eastAsia="Times New Roman" w:hAnsi="Times New Roman" w:cs="Times New Roman"/>
          <w:kern w:val="0"/>
          <w:lang w:eastAsia="en-GB"/>
          <w14:ligatures w14:val="none"/>
        </w:rPr>
      </w:pPr>
      <w:r w:rsidRPr="00936E0B">
        <w:rPr>
          <w:rFonts w:ascii="Times New Roman" w:eastAsia="Times New Roman" w:hAnsi="Times New Roman" w:cs="Times New Roman"/>
          <w:kern w:val="0"/>
          <w:lang w:eastAsia="en-GB"/>
          <w14:ligatures w14:val="none"/>
        </w:rPr>
        <w:t>The comparative trend analysis tool is particularly instrumental in helping users understand how different regions have responded to the pandemic over time. Through line charts comparing cases and deaths, the visualizations effectively highlight the impact of public health policies and interventions. By observing comparative trajectories, policymakers can make informed decisions, adopting best practices from regions demonstrating successful pandemic management.</w:t>
      </w:r>
    </w:p>
    <w:p w14:paraId="34EE663F" w14:textId="77777777" w:rsidR="00936E0B" w:rsidRPr="00936E0B" w:rsidRDefault="00936E0B" w:rsidP="00936E0B">
      <w:pPr>
        <w:spacing w:before="100" w:beforeAutospacing="1" w:after="100" w:afterAutospacing="1" w:line="240" w:lineRule="auto"/>
        <w:rPr>
          <w:rFonts w:ascii="Times New Roman" w:eastAsia="Times New Roman" w:hAnsi="Times New Roman" w:cs="Times New Roman"/>
          <w:kern w:val="0"/>
          <w:lang w:eastAsia="en-GB"/>
          <w14:ligatures w14:val="none"/>
        </w:rPr>
      </w:pPr>
      <w:r w:rsidRPr="00936E0B">
        <w:rPr>
          <w:rFonts w:ascii="Times New Roman" w:eastAsia="Times New Roman" w:hAnsi="Times New Roman" w:cs="Times New Roman"/>
          <w:kern w:val="0"/>
          <w:lang w:eastAsia="en-GB"/>
          <w14:ligatures w14:val="none"/>
        </w:rPr>
        <w:t>Annotations and narrative insights integrated into the visualizations further enhance user comprehension by offering context to raw data trends, such as notable vaccination milestones or alarming case surges. These insights promote informed public discourse and encourage community participation in pandemic mitigation efforts.</w:t>
      </w:r>
    </w:p>
    <w:p w14:paraId="38D54BD7" w14:textId="77777777" w:rsidR="00936E0B" w:rsidRPr="00936E0B" w:rsidRDefault="00936E0B" w:rsidP="00936E0B">
      <w:pPr>
        <w:spacing w:before="100" w:beforeAutospacing="1" w:after="100" w:afterAutospacing="1" w:line="240" w:lineRule="auto"/>
        <w:rPr>
          <w:rFonts w:ascii="Times New Roman" w:eastAsia="Times New Roman" w:hAnsi="Times New Roman" w:cs="Times New Roman"/>
          <w:kern w:val="0"/>
          <w:lang w:eastAsia="en-GB"/>
          <w14:ligatures w14:val="none"/>
        </w:rPr>
      </w:pPr>
      <w:r w:rsidRPr="00936E0B">
        <w:rPr>
          <w:rFonts w:ascii="Times New Roman" w:eastAsia="Times New Roman" w:hAnsi="Times New Roman" w:cs="Times New Roman"/>
          <w:kern w:val="0"/>
          <w:lang w:eastAsia="en-GB"/>
          <w14:ligatures w14:val="none"/>
        </w:rPr>
        <w:t>Ultimately, the dashboard effectively achieves its purpose of promoting global health equity by providing clear, accessible, and actionable insights. The visualizations not only make complex pandemic data understandable but also directly support evidence-based policymaking and public awareness, vital steps toward reducing health disparities and ensuring global preparedness for future health crises.</w:t>
      </w:r>
    </w:p>
    <w:p w14:paraId="23804689" w14:textId="77777777" w:rsidR="009E51C1" w:rsidRDefault="009E51C1"/>
    <w:sectPr w:rsidR="009E51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E0B"/>
    <w:rsid w:val="000057F2"/>
    <w:rsid w:val="00936E0B"/>
    <w:rsid w:val="009E51C1"/>
    <w:rsid w:val="00AD291E"/>
    <w:rsid w:val="00B261AB"/>
    <w:rsid w:val="00BF7E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21DFDF0"/>
  <w15:chartTrackingRefBased/>
  <w15:docId w15:val="{6F50BEB1-5808-6641-838A-31DA374E8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6E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36E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36E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6E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6E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6E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6E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6E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6E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6E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36E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36E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6E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6E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6E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6E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6E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6E0B"/>
    <w:rPr>
      <w:rFonts w:eastAsiaTheme="majorEastAsia" w:cstheme="majorBidi"/>
      <w:color w:val="272727" w:themeColor="text1" w:themeTint="D8"/>
    </w:rPr>
  </w:style>
  <w:style w:type="paragraph" w:styleId="Title">
    <w:name w:val="Title"/>
    <w:basedOn w:val="Normal"/>
    <w:next w:val="Normal"/>
    <w:link w:val="TitleChar"/>
    <w:uiPriority w:val="10"/>
    <w:qFormat/>
    <w:rsid w:val="00936E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6E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6E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6E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6E0B"/>
    <w:pPr>
      <w:spacing w:before="160"/>
      <w:jc w:val="center"/>
    </w:pPr>
    <w:rPr>
      <w:i/>
      <w:iCs/>
      <w:color w:val="404040" w:themeColor="text1" w:themeTint="BF"/>
    </w:rPr>
  </w:style>
  <w:style w:type="character" w:customStyle="1" w:styleId="QuoteChar">
    <w:name w:val="Quote Char"/>
    <w:basedOn w:val="DefaultParagraphFont"/>
    <w:link w:val="Quote"/>
    <w:uiPriority w:val="29"/>
    <w:rsid w:val="00936E0B"/>
    <w:rPr>
      <w:i/>
      <w:iCs/>
      <w:color w:val="404040" w:themeColor="text1" w:themeTint="BF"/>
    </w:rPr>
  </w:style>
  <w:style w:type="paragraph" w:styleId="ListParagraph">
    <w:name w:val="List Paragraph"/>
    <w:basedOn w:val="Normal"/>
    <w:uiPriority w:val="34"/>
    <w:qFormat/>
    <w:rsid w:val="00936E0B"/>
    <w:pPr>
      <w:ind w:left="720"/>
      <w:contextualSpacing/>
    </w:pPr>
  </w:style>
  <w:style w:type="character" w:styleId="IntenseEmphasis">
    <w:name w:val="Intense Emphasis"/>
    <w:basedOn w:val="DefaultParagraphFont"/>
    <w:uiPriority w:val="21"/>
    <w:qFormat/>
    <w:rsid w:val="00936E0B"/>
    <w:rPr>
      <w:i/>
      <w:iCs/>
      <w:color w:val="0F4761" w:themeColor="accent1" w:themeShade="BF"/>
    </w:rPr>
  </w:style>
  <w:style w:type="paragraph" w:styleId="IntenseQuote">
    <w:name w:val="Intense Quote"/>
    <w:basedOn w:val="Normal"/>
    <w:next w:val="Normal"/>
    <w:link w:val="IntenseQuoteChar"/>
    <w:uiPriority w:val="30"/>
    <w:qFormat/>
    <w:rsid w:val="00936E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6E0B"/>
    <w:rPr>
      <w:i/>
      <w:iCs/>
      <w:color w:val="0F4761" w:themeColor="accent1" w:themeShade="BF"/>
    </w:rPr>
  </w:style>
  <w:style w:type="character" w:styleId="IntenseReference">
    <w:name w:val="Intense Reference"/>
    <w:basedOn w:val="DefaultParagraphFont"/>
    <w:uiPriority w:val="32"/>
    <w:qFormat/>
    <w:rsid w:val="00936E0B"/>
    <w:rPr>
      <w:b/>
      <w:bCs/>
      <w:smallCaps/>
      <w:color w:val="0F4761" w:themeColor="accent1" w:themeShade="BF"/>
      <w:spacing w:val="5"/>
    </w:rPr>
  </w:style>
  <w:style w:type="paragraph" w:styleId="NormalWeb">
    <w:name w:val="Normal (Web)"/>
    <w:basedOn w:val="Normal"/>
    <w:uiPriority w:val="99"/>
    <w:semiHidden/>
    <w:unhideWhenUsed/>
    <w:rsid w:val="00936E0B"/>
    <w:pPr>
      <w:spacing w:before="100" w:beforeAutospacing="1" w:after="100" w:afterAutospacing="1" w:line="240" w:lineRule="auto"/>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1193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401</Words>
  <Characters>2291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SURYAANSH RATHINAM - 200905288</dc:creator>
  <cp:keywords/>
  <dc:description/>
  <cp:lastModifiedBy>SURYAANSH RATHINAM - 200905288</cp:lastModifiedBy>
  <cp:revision>1</cp:revision>
  <dcterms:created xsi:type="dcterms:W3CDTF">2025-04-02T18:36:00Z</dcterms:created>
  <dcterms:modified xsi:type="dcterms:W3CDTF">2025-04-02T18:47:00Z</dcterms:modified>
</cp:coreProperties>
</file>