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u w:val="single"/>
        </w:rPr>
      </w:pPr>
      <w:r>
        <w:rPr>
          <w:rFonts w:cs="Times New Roman" w:ascii="Times New Roman" w:hAnsi="Times New Roman"/>
          <w:b/>
          <w:u w:val="single"/>
        </w:rPr>
        <w:t>SERVICE AGREEMENT</w:t>
      </w:r>
    </w:p>
    <w:p>
      <w:pPr>
        <w:pStyle w:val="Normal"/>
        <w:jc w:val="both"/>
        <w:rPr>
          <w:rFonts w:ascii="Times New Roman" w:hAnsi="Times New Roman" w:cs="Times New Roman"/>
          <w:iCs/>
        </w:rPr>
      </w:pPr>
      <w:r>
        <w:rPr>
          <w:rFonts w:cs="Times New Roman" w:ascii="Times New Roman" w:hAnsi="Times New Roman"/>
          <w:iCs/>
        </w:rPr>
        <w:t>This Services Agreement (“</w:t>
      </w:r>
      <w:r>
        <w:rPr>
          <w:rFonts w:cs="Times New Roman" w:ascii="Times New Roman" w:hAnsi="Times New Roman"/>
          <w:b/>
          <w:bCs/>
          <w:iCs/>
        </w:rPr>
        <w:t>Agreement</w:t>
      </w:r>
      <w:r>
        <w:rPr>
          <w:rFonts w:cs="Times New Roman" w:ascii="Times New Roman" w:hAnsi="Times New Roman"/>
          <w:iCs/>
        </w:rPr>
        <w:t xml:space="preserve">”) shall become effective on the date of execution. </w:t>
      </w:r>
    </w:p>
    <w:p>
      <w:pPr>
        <w:pStyle w:val="Normal"/>
        <w:jc w:val="both"/>
        <w:rPr>
          <w:rFonts w:ascii="Times New Roman" w:hAnsi="Times New Roman" w:cs="Times New Roman"/>
          <w:b/>
          <w:b/>
          <w:bCs/>
          <w:iCs/>
        </w:rPr>
      </w:pPr>
      <w:r>
        <w:rPr>
          <w:rFonts w:cs="Times New Roman" w:ascii="Times New Roman" w:hAnsi="Times New Roman"/>
          <w:b/>
          <w:bCs/>
          <w:iCs/>
        </w:rPr>
      </w:r>
    </w:p>
    <w:p>
      <w:pPr>
        <w:pStyle w:val="Normal"/>
        <w:jc w:val="center"/>
        <w:rPr>
          <w:rFonts w:ascii="Times New Roman" w:hAnsi="Times New Roman" w:cs="Times New Roman"/>
          <w:b/>
          <w:b/>
          <w:bCs/>
          <w:iCs/>
        </w:rPr>
      </w:pPr>
      <w:r>
        <w:rPr>
          <w:rFonts w:cs="Times New Roman" w:ascii="Times New Roman" w:hAnsi="Times New Roman"/>
          <w:b/>
          <w:bCs/>
          <w:iCs/>
        </w:rPr>
        <w:t>By and Between</w:t>
      </w:r>
    </w:p>
    <w:p>
      <w:pPr>
        <w:pStyle w:val="Normal"/>
        <w:jc w:val="both"/>
        <w:rPr>
          <w:rFonts w:ascii="Times New Roman" w:hAnsi="Times New Roman" w:cs="Times New Roman"/>
          <w:iCs/>
        </w:rPr>
      </w:pPr>
      <w:r>
        <w:rPr>
          <w:rFonts w:cs="Times New Roman" w:ascii="Times New Roman" w:hAnsi="Times New Roman"/>
          <w:b/>
          <w:bCs/>
          <w:iCs/>
        </w:rPr>
        <w:t>MLL Express Services Private Limited,</w:t>
      </w:r>
      <w:r>
        <w:rPr>
          <w:rFonts w:cs="Times New Roman" w:ascii="Times New Roman" w:hAnsi="Times New Roman"/>
          <w:iCs/>
        </w:rPr>
        <w:t xml:space="preserve"> a company incorporated under the Companies Act, 1956 and having its corporate office at AIHP PALMS, 2</w:t>
      </w:r>
      <w:r>
        <w:rPr>
          <w:rFonts w:cs="Times New Roman" w:ascii="Times New Roman" w:hAnsi="Times New Roman"/>
          <w:iCs/>
          <w:vertAlign w:val="superscript"/>
        </w:rPr>
        <w:t>nd</w:t>
      </w:r>
      <w:r>
        <w:rPr>
          <w:rFonts w:cs="Times New Roman" w:ascii="Times New Roman" w:hAnsi="Times New Roman"/>
          <w:iCs/>
        </w:rPr>
        <w:t xml:space="preserve"> Floor, B Wing, Sector-18, Udyog Vihar, Gurugram, Haryana-122015 (hereinafter referred to as “</w:t>
      </w:r>
      <w:r>
        <w:rPr>
          <w:rFonts w:cs="Times New Roman" w:ascii="Times New Roman" w:hAnsi="Times New Roman"/>
          <w:b/>
          <w:iCs/>
        </w:rPr>
        <w:t>MESPL</w:t>
      </w:r>
      <w:r>
        <w:rPr>
          <w:rFonts w:cs="Times New Roman" w:ascii="Times New Roman" w:hAnsi="Times New Roman"/>
          <w:iCs/>
        </w:rPr>
        <w:t>”)</w:t>
      </w:r>
      <w:r>
        <w:rPr>
          <w:rFonts w:cs="Times New Roman" w:ascii="Times New Roman" w:hAnsi="Times New Roman"/>
          <w:b/>
          <w:bCs/>
          <w:iCs/>
        </w:rPr>
        <w:t xml:space="preserve"> </w:t>
      </w:r>
      <w:r>
        <w:rPr>
          <w:rFonts w:cs="Times New Roman" w:ascii="Times New Roman" w:hAnsi="Times New Roman"/>
        </w:rPr>
        <w:t>which expression shall unless it be repugnant to the context or meaning thereof be deemed to mean and include its successors and permitted assigns) of the ONE PART;</w:t>
      </w:r>
    </w:p>
    <w:p>
      <w:pPr>
        <w:pStyle w:val="Normal"/>
        <w:jc w:val="center"/>
        <w:rPr>
          <w:rFonts w:ascii="Times New Roman" w:hAnsi="Times New Roman" w:cs="Times New Roman"/>
          <w:b/>
          <w:b/>
          <w:bCs/>
          <w:iCs/>
        </w:rPr>
      </w:pPr>
      <w:r>
        <w:rPr>
          <w:rFonts w:cs="Times New Roman" w:ascii="Times New Roman" w:hAnsi="Times New Roman"/>
          <w:b/>
          <w:bCs/>
          <w:iCs/>
        </w:rPr>
        <w:t>And</w:t>
      </w:r>
    </w:p>
    <w:p>
      <w:pPr>
        <w:pStyle w:val="Normal"/>
        <w:jc w:val="both"/>
        <w:rPr>
          <w:rFonts w:ascii="Times New Roman" w:hAnsi="Times New Roman" w:cs="Times New Roman"/>
          <w:b/>
          <w:b/>
          <w:bCs/>
        </w:rPr>
      </w:pPr>
      <w:r>
        <w:rPr>
          <w:rFonts w:cs="Times New Roman" w:ascii="Times New Roman" w:hAnsi="Times New Roman"/>
          <w:b/>
          <w:bCs/>
        </w:rPr>
      </w:r>
    </w:p>
    <w:p>
      <w:pPr>
        <w:pStyle w:val="Normal"/>
        <w:jc w:val="both"/>
        <w:rPr>
          <w:rFonts w:ascii="Times New Roman" w:hAnsi="Times New Roman" w:cs="Times New Roman"/>
        </w:rPr>
      </w:pPr>
      <w:r>
        <w:rPr>
          <w:rFonts w:cs="Times New Roman" w:ascii="Times New Roman" w:hAnsi="Times New Roman"/>
          <w:b/>
          <w:bCs/>
          <w:shd w:fill="auto" w:val="clear"/>
          <w:lang w:val="en-US"/>
        </w:rPr>
        <w:t>$</w:t>
      </w:r>
      <w:r>
        <w:rPr>
          <w:rFonts w:cs="Times New Roman" w:ascii="Times New Roman" w:hAnsi="Times New Roman"/>
          <w:b/>
          <w:bCs/>
          <w:shd w:fill="auto" w:val="clear"/>
          <w:lang w:val="en-US"/>
        </w:rPr>
        <w:t>Name_of_Service_Provider</w:t>
      </w:r>
      <w:r>
        <w:rPr>
          <w:rFonts w:cs="Times New Roman" w:ascii="Times New Roman" w:hAnsi="Times New Roman"/>
          <w:b/>
          <w:bCs/>
          <w:lang w:val="en-US"/>
        </w:rPr>
        <w:t xml:space="preserve"> </w:t>
      </w:r>
      <w:r>
        <w:rPr>
          <w:rFonts w:cs="Times New Roman" w:ascii="Times New Roman" w:hAnsi="Times New Roman"/>
        </w:rPr>
        <w:t xml:space="preserve">individual, having its residence at </w:t>
      </w:r>
      <w:r>
        <w:rPr>
          <w:rFonts w:cs="Times New Roman" w:ascii="Times New Roman" w:hAnsi="Times New Roman"/>
          <w:b/>
          <w:bCs/>
        </w:rPr>
        <w:t>$</w:t>
      </w:r>
      <w:r>
        <w:rPr>
          <w:rFonts w:cs="Times New Roman" w:ascii="Times New Roman" w:hAnsi="Times New Roman"/>
          <w:b/>
          <w:bCs/>
          <w:shd w:fill="auto" w:val="clear"/>
          <w:lang w:val="en-US"/>
        </w:rPr>
        <w:t>Address_of_Service_Provider</w:t>
      </w:r>
      <w:r>
        <w:rPr>
          <w:rFonts w:cs="Times New Roman" w:ascii="Times New Roman" w:hAnsi="Times New Roman"/>
          <w:lang w:val="en-US"/>
        </w:rPr>
        <w:t xml:space="preserve"> </w:t>
      </w:r>
      <w:r>
        <w:rPr>
          <w:rFonts w:cs="Times New Roman" w:ascii="Times New Roman" w:hAnsi="Times New Roman"/>
        </w:rPr>
        <w:t>(hereinafter to be referred to as “</w:t>
      </w:r>
      <w:r>
        <w:rPr>
          <w:rFonts w:cs="Times New Roman" w:ascii="Times New Roman" w:hAnsi="Times New Roman"/>
          <w:b/>
          <w:bCs/>
        </w:rPr>
        <w:t>Service Provider</w:t>
      </w:r>
      <w:r>
        <w:rPr>
          <w:rFonts w:cs="Times New Roman" w:ascii="Times New Roman" w:hAnsi="Times New Roman"/>
        </w:rPr>
        <w:t>”) which expression shall unless it be repugnant to the context or meaning thereof mean and include his/her legal heirs, successors and assigns and administrators) of the SECOND PART.</w:t>
      </w:r>
    </w:p>
    <w:p>
      <w:pPr>
        <w:pStyle w:val="Normal"/>
        <w:jc w:val="both"/>
        <w:rPr>
          <w:rFonts w:ascii="Times New Roman" w:hAnsi="Times New Roman" w:cs="Times New Roman"/>
          <w:b/>
          <w:b/>
          <w:bCs/>
        </w:rPr>
      </w:pPr>
      <w:r>
        <w:rPr>
          <w:rFonts w:cs="Times New Roman" w:ascii="Times New Roman" w:hAnsi="Times New Roman"/>
          <w:b/>
          <w:bCs/>
        </w:rPr>
      </w:r>
    </w:p>
    <w:p>
      <w:pPr>
        <w:pStyle w:val="Normal"/>
        <w:jc w:val="both"/>
        <w:rPr>
          <w:rFonts w:ascii="Times New Roman" w:hAnsi="Times New Roman" w:cs="Times New Roman"/>
          <w:iCs/>
        </w:rPr>
      </w:pPr>
      <w:r>
        <w:rPr>
          <w:rFonts w:cs="Times New Roman" w:ascii="Times New Roman" w:hAnsi="Times New Roman"/>
          <w:b/>
          <w:bCs/>
          <w:iCs/>
        </w:rPr>
        <w:t xml:space="preserve">"MESPL" </w:t>
      </w:r>
      <w:r>
        <w:rPr>
          <w:rFonts w:cs="Times New Roman" w:ascii="Times New Roman" w:hAnsi="Times New Roman"/>
          <w:iCs/>
        </w:rPr>
        <w:t>and</w:t>
      </w:r>
      <w:r>
        <w:rPr>
          <w:rFonts w:cs="Times New Roman" w:ascii="Times New Roman" w:hAnsi="Times New Roman"/>
          <w:b/>
          <w:bCs/>
          <w:iCs/>
        </w:rPr>
        <w:t xml:space="preserve"> "Service Provider", </w:t>
      </w:r>
      <w:r>
        <w:rPr>
          <w:rFonts w:cs="Times New Roman" w:ascii="Times New Roman" w:hAnsi="Times New Roman"/>
          <w:iCs/>
        </w:rPr>
        <w:t>as and when context requires, are individually referred to as “Party” and collectively referred to as “Parties”.</w:t>
      </w:r>
    </w:p>
    <w:p>
      <w:pPr>
        <w:pStyle w:val="Normal"/>
        <w:jc w:val="both"/>
        <w:rPr>
          <w:rFonts w:ascii="Times New Roman" w:hAnsi="Times New Roman" w:cs="Times New Roman"/>
          <w:b/>
          <w:b/>
          <w:u w:val="single"/>
        </w:rPr>
      </w:pPr>
      <w:r>
        <w:rPr>
          <w:rFonts w:cs="Times New Roman" w:ascii="Times New Roman" w:hAnsi="Times New Roman"/>
          <w:b/>
          <w:u w:val="single"/>
        </w:rPr>
      </w:r>
    </w:p>
    <w:p>
      <w:pPr>
        <w:pStyle w:val="Normal"/>
        <w:jc w:val="both"/>
        <w:rPr>
          <w:rFonts w:ascii="Times New Roman" w:hAnsi="Times New Roman" w:cs="Times New Roman"/>
          <w:b/>
          <w:b/>
          <w:u w:val="single"/>
        </w:rPr>
      </w:pPr>
      <w:r>
        <w:rPr>
          <w:rFonts w:cs="Times New Roman" w:ascii="Times New Roman" w:hAnsi="Times New Roman"/>
          <w:b/>
          <w:u w:val="single"/>
        </w:rPr>
        <w:t>RECITALS:</w:t>
      </w:r>
    </w:p>
    <w:p>
      <w:pPr>
        <w:pStyle w:val="Normal"/>
        <w:jc w:val="both"/>
        <w:rPr>
          <w:rFonts w:ascii="Times New Roman" w:hAnsi="Times New Roman" w:cs="Times New Roman"/>
          <w:bCs/>
          <w:i/>
          <w:i/>
          <w:iCs/>
        </w:rPr>
      </w:pPr>
      <w:r>
        <w:rPr>
          <w:rFonts w:cs="Times New Roman" w:ascii="Times New Roman" w:hAnsi="Times New Roman"/>
          <w:bCs/>
          <w:i/>
          <w:iCs/>
        </w:rPr>
        <w:t>WHEREAS:</w:t>
      </w:r>
    </w:p>
    <w:p>
      <w:pPr>
        <w:pStyle w:val="Normal"/>
        <w:numPr>
          <w:ilvl w:val="0"/>
          <w:numId w:val="1"/>
        </w:numPr>
        <w:jc w:val="both"/>
        <w:rPr>
          <w:rFonts w:ascii="Times New Roman" w:hAnsi="Times New Roman" w:cs="Times New Roman"/>
        </w:rPr>
      </w:pPr>
      <w:r>
        <w:rPr>
          <w:rFonts w:cs="Times New Roman" w:ascii="Times New Roman" w:hAnsi="Times New Roman"/>
        </w:rPr>
        <w:t xml:space="preserve">MESPL is engaged inter alia in the business of providing transportation services across various locations. </w:t>
      </w:r>
    </w:p>
    <w:p>
      <w:pPr>
        <w:pStyle w:val="Normal"/>
        <w:numPr>
          <w:ilvl w:val="0"/>
          <w:numId w:val="1"/>
        </w:numPr>
        <w:jc w:val="both"/>
        <w:rPr>
          <w:rFonts w:ascii="Times New Roman" w:hAnsi="Times New Roman" w:cs="Times New Roman"/>
        </w:rPr>
      </w:pPr>
      <w:r>
        <w:rPr>
          <w:rFonts w:cs="Times New Roman" w:ascii="Times New Roman" w:hAnsi="Times New Roman"/>
        </w:rPr>
        <w:t>Service Provider is an individual service provider providing housekeeping services.</w:t>
      </w:r>
    </w:p>
    <w:p>
      <w:pPr>
        <w:pStyle w:val="TextBody"/>
        <w:numPr>
          <w:ilvl w:val="0"/>
          <w:numId w:val="1"/>
        </w:numPr>
        <w:jc w:val="both"/>
        <w:rPr>
          <w:rFonts w:ascii="Times New Roman" w:hAnsi="Times New Roman" w:eastAsia="Calibri" w:eastAsiaTheme="minorHAnsi"/>
          <w:color w:val="auto"/>
          <w:kern w:val="2"/>
          <w:sz w:val="22"/>
          <w:szCs w:val="22"/>
          <w:lang w:val="en-IN"/>
          <w14:ligatures w14:val="standardContextual"/>
        </w:rPr>
      </w:pPr>
      <w:r>
        <w:rPr>
          <w:rFonts w:eastAsia="Calibri" w:ascii="Times New Roman" w:hAnsi="Times New Roman" w:eastAsiaTheme="minorHAnsi"/>
          <w:color w:val="auto"/>
          <w:kern w:val="2"/>
          <w:sz w:val="22"/>
          <w:szCs w:val="22"/>
          <w:lang w:val="en-IN"/>
          <w14:ligatures w14:val="standardContextual"/>
        </w:rPr>
        <w:t xml:space="preserve">MESPL is desirous of onboarding a qualified service provider for provision of housekeeping services at its location on a principal-to-principal basis, as set out in detail under Annexure I of this Agreement. </w:t>
      </w:r>
    </w:p>
    <w:p>
      <w:pPr>
        <w:pStyle w:val="Normal"/>
        <w:numPr>
          <w:ilvl w:val="0"/>
          <w:numId w:val="1"/>
        </w:numPr>
        <w:spacing w:lineRule="auto" w:line="240" w:before="120" w:after="0"/>
        <w:ind w:left="360" w:right="-7" w:hanging="360"/>
        <w:jc w:val="both"/>
        <w:rPr>
          <w:rFonts w:ascii="Times New Roman" w:hAnsi="Times New Roman" w:cs="Times New Roman"/>
        </w:rPr>
      </w:pPr>
      <w:r>
        <w:rPr>
          <w:rFonts w:cs="Times New Roman" w:ascii="Times New Roman" w:hAnsi="Times New Roman"/>
        </w:rPr>
        <w:t>The Service Provider has represented to MESPL that it possesses the necessary expertise, experience, permission and licenses to provide the Services (defined hereunder) to MESPL as per its requirements on the above model.</w:t>
      </w:r>
    </w:p>
    <w:p>
      <w:pPr>
        <w:pStyle w:val="Normal"/>
        <w:spacing w:lineRule="auto" w:line="240" w:before="120" w:after="0"/>
        <w:ind w:left="360" w:right="-7" w:hanging="0"/>
        <w:jc w:val="both"/>
        <w:rPr>
          <w:rFonts w:ascii="Times New Roman" w:hAnsi="Times New Roman" w:cs="Times New Roman"/>
        </w:rPr>
      </w:pPr>
      <w:r>
        <w:rPr>
          <w:rFonts w:cs="Times New Roman" w:ascii="Times New Roman" w:hAnsi="Times New Roman"/>
        </w:rPr>
      </w:r>
    </w:p>
    <w:p>
      <w:pPr>
        <w:pStyle w:val="Normal"/>
        <w:numPr>
          <w:ilvl w:val="0"/>
          <w:numId w:val="1"/>
        </w:numPr>
        <w:jc w:val="both"/>
        <w:rPr>
          <w:rFonts w:ascii="Times New Roman" w:hAnsi="Times New Roman" w:cs="Times New Roman"/>
        </w:rPr>
      </w:pPr>
      <w:r>
        <w:rPr>
          <w:rFonts w:cs="Times New Roman" w:ascii="Times New Roman" w:hAnsi="Times New Roman"/>
        </w:rPr>
        <w:t>MESPL, based on the representations made by the Service Provider, has agreed to allow the Service Provider to provide the Services at the Location on a principal-to-principal basis as per the terms and conditions specified under this Agreement.</w:t>
      </w:r>
    </w:p>
    <w:p>
      <w:pPr>
        <w:pStyle w:val="Normal"/>
        <w:ind w:left="360" w:hanging="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u w:val="single"/>
        </w:rPr>
      </w:pPr>
      <w:r>
        <w:rPr>
          <w:rFonts w:cs="Times New Roman" w:ascii="Times New Roman" w:hAnsi="Times New Roman"/>
          <w:b/>
          <w:u w:val="single"/>
        </w:rPr>
        <w:t>NOW THEREFORE, IN CONSIDERATION OF THE MUTUAL AGREEMENTS, COVENANTS AND CONDITIONS SET FORTH HEREIN, IT IS HEREBY AGREED BY AND BETWEEN THE PARTIES AS FOLLOWS:</w:t>
      </w:r>
    </w:p>
    <w:p>
      <w:pPr>
        <w:pStyle w:val="Normal"/>
        <w:jc w:val="both"/>
        <w:rPr>
          <w:rFonts w:ascii="Times New Roman" w:hAnsi="Times New Roman" w:cs="Times New Roman"/>
          <w:b/>
          <w:b/>
          <w:u w:val="single"/>
        </w:rPr>
      </w:pPr>
      <w:r>
        <w:rPr>
          <w:rFonts w:cs="Times New Roman" w:ascii="Times New Roman" w:hAnsi="Times New Roman"/>
          <w:b/>
          <w:u w:val="single"/>
        </w:rPr>
      </w:r>
    </w:p>
    <w:p>
      <w:pPr>
        <w:pStyle w:val="ListParagraph"/>
        <w:widowControl w:val="false"/>
        <w:numPr>
          <w:ilvl w:val="0"/>
          <w:numId w:val="2"/>
        </w:numPr>
        <w:ind w:left="567" w:hanging="567"/>
        <w:jc w:val="both"/>
        <w:rPr>
          <w:rFonts w:ascii="Times New Roman" w:hAnsi="Times New Roman"/>
          <w:sz w:val="22"/>
          <w:szCs w:val="22"/>
          <w:lang w:eastAsia="en-IN"/>
        </w:rPr>
      </w:pPr>
      <w:r>
        <w:rPr>
          <w:rFonts w:ascii="Times New Roman" w:hAnsi="Times New Roman"/>
          <w:b/>
          <w:bCs/>
          <w:sz w:val="22"/>
          <w:szCs w:val="22"/>
        </w:rPr>
        <w:t xml:space="preserve">Services: </w:t>
      </w:r>
      <w:r>
        <w:rPr>
          <w:rFonts w:ascii="Times New Roman" w:hAnsi="Times New Roman"/>
          <w:sz w:val="22"/>
          <w:szCs w:val="22"/>
          <w:lang w:eastAsia="en-IN"/>
        </w:rPr>
        <w:t xml:space="preserve">The Service Provider agrees to provide services at the location or on such locations as required by MESPL, as detailed in </w:t>
      </w:r>
      <w:r>
        <w:rPr>
          <w:rFonts w:ascii="Times New Roman" w:hAnsi="Times New Roman"/>
          <w:b/>
          <w:sz w:val="22"/>
          <w:szCs w:val="22"/>
          <w:lang w:eastAsia="en-IN"/>
        </w:rPr>
        <w:t>Annexure-1</w:t>
      </w:r>
      <w:r>
        <w:rPr>
          <w:rFonts w:ascii="Times New Roman" w:hAnsi="Times New Roman"/>
          <w:sz w:val="22"/>
          <w:szCs w:val="22"/>
          <w:lang w:eastAsia="en-IN"/>
        </w:rPr>
        <w:t xml:space="preserve"> attached with this Agreement on non-exclusive basis.</w:t>
      </w:r>
    </w:p>
    <w:p>
      <w:pPr>
        <w:pStyle w:val="Normal"/>
        <w:widowControl w:val="false"/>
        <w:spacing w:lineRule="auto" w:line="240" w:before="0" w:after="0"/>
        <w:jc w:val="both"/>
        <w:rPr>
          <w:rFonts w:ascii="Times New Roman" w:hAnsi="Times New Roman" w:eastAsia="Times New Roman" w:cs="Times New Roman"/>
          <w:lang w:eastAsia="en-IN"/>
        </w:rPr>
      </w:pPr>
      <w:r>
        <w:rPr>
          <w:rFonts w:eastAsia="Times New Roman" w:cs="Times New Roman" w:ascii="Times New Roman" w:hAnsi="Times New Roman"/>
          <w:lang w:eastAsia="en-IN"/>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 xml:space="preserve">Term: </w:t>
      </w:r>
      <w:r>
        <w:rPr>
          <w:rFonts w:ascii="Times New Roman" w:hAnsi="Times New Roman"/>
          <w:sz w:val="22"/>
          <w:szCs w:val="22"/>
        </w:rPr>
        <w:t xml:space="preserve">The Term of this Agreement shall be for a period of </w:t>
      </w:r>
      <w:r>
        <w:rPr>
          <w:rFonts w:ascii="Times New Roman" w:hAnsi="Times New Roman"/>
          <w:sz w:val="22"/>
          <w:szCs w:val="22"/>
        </w:rPr>
        <w:t>$</w:t>
      </w:r>
      <w:r>
        <w:rPr>
          <w:rFonts w:ascii="Times New Roman" w:hAnsi="Times New Roman"/>
          <w:sz w:val="22"/>
          <w:szCs w:val="22"/>
          <w:shd w:fill="auto" w:val="clear"/>
        </w:rPr>
        <w:t>Term_of_Agreement</w:t>
      </w:r>
      <w:r>
        <w:rPr>
          <w:rFonts w:ascii="Times New Roman" w:hAnsi="Times New Roman"/>
          <w:sz w:val="22"/>
          <w:szCs w:val="22"/>
        </w:rPr>
        <w:t xml:space="preserve"> commencing retrospectively from </w:t>
      </w:r>
      <w:r>
        <w:rPr>
          <w:rFonts w:ascii="Times New Roman" w:hAnsi="Times New Roman"/>
          <w:sz w:val="22"/>
          <w:szCs w:val="22"/>
        </w:rPr>
        <w:t>$</w:t>
      </w:r>
      <w:r>
        <w:rPr>
          <w:rFonts w:ascii="Times New Roman" w:hAnsi="Times New Roman"/>
          <w:sz w:val="22"/>
          <w:szCs w:val="22"/>
          <w:shd w:fill="auto" w:val="clear"/>
        </w:rPr>
        <w:t>Commencement_Date</w:t>
      </w:r>
      <w:r>
        <w:rPr>
          <w:rFonts w:ascii="Times New Roman" w:hAnsi="Times New Roman"/>
          <w:sz w:val="22"/>
          <w:szCs w:val="22"/>
        </w:rPr>
        <w:t xml:space="preserve"> till </w:t>
      </w:r>
      <w:r>
        <w:rPr>
          <w:rFonts w:ascii="Times New Roman" w:hAnsi="Times New Roman"/>
          <w:sz w:val="22"/>
          <w:szCs w:val="22"/>
        </w:rPr>
        <w:t>$</w:t>
      </w:r>
      <w:r>
        <w:rPr>
          <w:rFonts w:ascii="Times New Roman" w:hAnsi="Times New Roman"/>
          <w:sz w:val="22"/>
          <w:szCs w:val="22"/>
          <w:shd w:fill="auto" w:val="clear"/>
        </w:rPr>
        <w:t>Expiry_Date</w:t>
      </w:r>
      <w:r>
        <w:rPr>
          <w:rFonts w:ascii="Times New Roman" w:hAnsi="Times New Roman"/>
          <w:sz w:val="22"/>
          <w:szCs w:val="22"/>
        </w:rPr>
        <w:t>.</w:t>
      </w:r>
    </w:p>
    <w:p>
      <w:pPr>
        <w:pStyle w:val="ListParagraph"/>
        <w:jc w:val="both"/>
        <w:rPr>
          <w:rFonts w:ascii="Times New Roman" w:hAnsi="Times New Roman"/>
          <w:b/>
          <w:b/>
          <w:bCs/>
          <w:sz w:val="22"/>
          <w:szCs w:val="22"/>
        </w:rPr>
      </w:pPr>
      <w:r>
        <w:rPr>
          <w:rFonts w:ascii="Times New Roman" w:hAnsi="Times New Roman"/>
          <w:b/>
          <w:bCs/>
          <w:sz w:val="22"/>
          <w:szCs w:val="22"/>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Consideration and Payment Terms:</w:t>
      </w:r>
      <w:r>
        <w:rPr>
          <w:rFonts w:ascii="Times New Roman" w:hAnsi="Times New Roman"/>
          <w:sz w:val="22"/>
          <w:szCs w:val="22"/>
        </w:rPr>
        <w:t xml:space="preserve"> MESPL</w:t>
      </w:r>
      <w:r>
        <w:rPr>
          <w:rFonts w:ascii="Times New Roman" w:hAnsi="Times New Roman"/>
          <w:sz w:val="22"/>
          <w:szCs w:val="22"/>
          <w:lang w:eastAsia="en-IN"/>
        </w:rPr>
        <w:t xml:space="preserve"> agrees to pay service charges for the Services provided by the Service Provider (“</w:t>
      </w:r>
      <w:r>
        <w:rPr>
          <w:rFonts w:ascii="Times New Roman" w:hAnsi="Times New Roman"/>
          <w:b/>
          <w:sz w:val="22"/>
          <w:szCs w:val="22"/>
          <w:lang w:eastAsia="en-IN"/>
        </w:rPr>
        <w:t>Service Charge</w:t>
      </w:r>
      <w:r>
        <w:rPr>
          <w:rFonts w:ascii="Times New Roman" w:hAnsi="Times New Roman"/>
          <w:sz w:val="22"/>
          <w:szCs w:val="22"/>
          <w:lang w:eastAsia="en-IN"/>
        </w:rPr>
        <w:t xml:space="preserve">”) inclusive of all applicable taxes as set forth in </w:t>
      </w:r>
      <w:r>
        <w:rPr>
          <w:rFonts w:ascii="Times New Roman" w:hAnsi="Times New Roman"/>
          <w:b/>
          <w:sz w:val="22"/>
          <w:szCs w:val="22"/>
          <w:lang w:eastAsia="en-IN"/>
        </w:rPr>
        <w:t>Annexure-2</w:t>
      </w:r>
      <w:r>
        <w:rPr>
          <w:rFonts w:ascii="Times New Roman" w:hAnsi="Times New Roman"/>
          <w:sz w:val="22"/>
          <w:szCs w:val="22"/>
          <w:lang w:eastAsia="en-IN"/>
        </w:rPr>
        <w:t xml:space="preserve"> to this Agreement.</w:t>
      </w:r>
    </w:p>
    <w:p>
      <w:pPr>
        <w:pStyle w:val="ListParagraph"/>
        <w:jc w:val="both"/>
        <w:rPr>
          <w:rFonts w:ascii="Times New Roman" w:hAnsi="Times New Roman"/>
          <w:b/>
          <w:b/>
          <w:bCs/>
          <w:sz w:val="22"/>
          <w:szCs w:val="22"/>
        </w:rPr>
      </w:pPr>
      <w:r>
        <w:rPr>
          <w:rFonts w:ascii="Times New Roman" w:hAnsi="Times New Roman"/>
          <w:b/>
          <w:bCs/>
          <w:sz w:val="22"/>
          <w:szCs w:val="22"/>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Responsibilities of Service Provider:</w:t>
      </w:r>
      <w:r>
        <w:rPr>
          <w:rFonts w:ascii="Times New Roman" w:hAnsi="Times New Roman"/>
          <w:sz w:val="22"/>
          <w:szCs w:val="22"/>
        </w:rPr>
        <w:t xml:space="preserve">  </w:t>
      </w:r>
    </w:p>
    <w:p>
      <w:pPr>
        <w:pStyle w:val="ListParagraph"/>
        <w:rPr>
          <w:rFonts w:ascii="Times New Roman" w:hAnsi="Times New Roman"/>
          <w:sz w:val="22"/>
          <w:szCs w:val="22"/>
        </w:rPr>
      </w:pPr>
      <w:r>
        <w:rPr>
          <w:rFonts w:ascii="Times New Roman" w:hAnsi="Times New Roman"/>
          <w:sz w:val="22"/>
          <w:szCs w:val="22"/>
        </w:rPr>
      </w:r>
    </w:p>
    <w:p>
      <w:pPr>
        <w:pStyle w:val="ListParagraph"/>
        <w:numPr>
          <w:ilvl w:val="0"/>
          <w:numId w:val="3"/>
        </w:numPr>
        <w:jc w:val="both"/>
        <w:rPr>
          <w:rFonts w:ascii="Times New Roman" w:hAnsi="Times New Roman"/>
          <w:sz w:val="22"/>
          <w:szCs w:val="22"/>
        </w:rPr>
      </w:pPr>
      <w:r>
        <w:rPr>
          <w:rFonts w:ascii="Times New Roman" w:hAnsi="Times New Roman"/>
          <w:sz w:val="22"/>
          <w:szCs w:val="22"/>
        </w:rPr>
        <w:t xml:space="preserve">The Service Provider shall be responsible for maintaining the conduct as mentioned in the </w:t>
      </w:r>
      <w:r>
        <w:rPr>
          <w:rFonts w:ascii="Times New Roman" w:hAnsi="Times New Roman"/>
          <w:b/>
          <w:bCs/>
          <w:sz w:val="22"/>
          <w:szCs w:val="22"/>
        </w:rPr>
        <w:t>Schedule 1</w:t>
      </w:r>
      <w:r>
        <w:rPr>
          <w:rFonts w:ascii="Times New Roman" w:hAnsi="Times New Roman"/>
          <w:sz w:val="22"/>
          <w:szCs w:val="22"/>
        </w:rPr>
        <w:t xml:space="preserve"> and shall be providing Services as per the Scope of Work mentioned in the </w:t>
      </w:r>
      <w:r>
        <w:rPr>
          <w:rFonts w:ascii="Times New Roman" w:hAnsi="Times New Roman"/>
          <w:b/>
          <w:bCs/>
          <w:sz w:val="22"/>
          <w:szCs w:val="22"/>
        </w:rPr>
        <w:t>Annexure 1</w:t>
      </w:r>
      <w:r>
        <w:rPr>
          <w:rFonts w:ascii="Times New Roman" w:hAnsi="Times New Roman"/>
          <w:sz w:val="22"/>
          <w:szCs w:val="22"/>
        </w:rPr>
        <w:t>. This having been said, MESPL reserves the right to reduce / enhance the scope of services as per its requirements, on a need basis from time to time. Such directions to reduce / enhance the scope of work shall be reduced to writing and be affected after being signed by the authorized representatives of both Parties upon happening of which they shall automatically form an integral part of Annexure 1. Such additional services shall be performed by the Service Provider in accordance with mutually agreed working procedures between the Parties. The relationship between MESPL and the Service Provider shall be that of independent entities, operating on a principal-to-principal basis, with no employer-employee relationship between the Parties.</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Service Provider shall comply with all applicable laws/ statutes/ orders/ rules and regulation, including but not limited to state, central and local bye-laws, and shall not breach the same.</w:t>
      </w:r>
    </w:p>
    <w:p>
      <w:pPr>
        <w:pStyle w:val="Normal"/>
        <w:numPr>
          <w:ilvl w:val="0"/>
          <w:numId w:val="3"/>
        </w:numPr>
        <w:spacing w:lineRule="auto" w:line="240" w:before="0" w:after="0"/>
        <w:jc w:val="both"/>
        <w:rPr>
          <w:rFonts w:ascii="Times New Roman" w:hAnsi="Times New Roman" w:cs="Times New Roman"/>
        </w:rPr>
      </w:pPr>
      <w:r>
        <w:rPr>
          <w:rFonts w:cs="Times New Roman" w:ascii="Times New Roman" w:hAnsi="Times New Roman"/>
        </w:rPr>
        <w:t>Service Provider shall be solely responsible for making payments to its partners, if so appointed by it to support or perform the Services under this Agreement. Under no circumstances shall MESPL be held responsible or liable for any claim, demand, penalty, or sanction, by whatsoever name called, arising from a breach of this clause 4 by the Service Provider. In the event any such claim, penalty, sanction, or demand is raised against MESPL, the Service Provider agrees to fully indemnify MESPL for all resulting losses, at its own cost, in accordance with clause 8 of this Agreement.</w:t>
      </w:r>
    </w:p>
    <w:p>
      <w:pPr>
        <w:pStyle w:val="ListParagraph"/>
        <w:jc w:val="both"/>
        <w:rPr>
          <w:rFonts w:ascii="Times New Roman" w:hAnsi="Times New Roman"/>
          <w:b/>
          <w:b/>
          <w:bCs/>
          <w:sz w:val="22"/>
          <w:szCs w:val="22"/>
        </w:rPr>
      </w:pPr>
      <w:r>
        <w:rPr>
          <w:rFonts w:ascii="Times New Roman" w:hAnsi="Times New Roman"/>
          <w:b/>
          <w:bCs/>
          <w:sz w:val="22"/>
          <w:szCs w:val="22"/>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Termination</w:t>
      </w:r>
      <w:r>
        <w:rPr>
          <w:rFonts w:ascii="Times New Roman" w:hAnsi="Times New Roman"/>
          <w:sz w:val="22"/>
          <w:szCs w:val="22"/>
        </w:rPr>
        <w:t xml:space="preserve">: </w:t>
      </w:r>
    </w:p>
    <w:p>
      <w:pPr>
        <w:pStyle w:val="ListParagraph"/>
        <w:numPr>
          <w:ilvl w:val="0"/>
          <w:numId w:val="4"/>
        </w:numPr>
        <w:ind w:left="993" w:hanging="360"/>
        <w:jc w:val="both"/>
        <w:rPr>
          <w:rFonts w:ascii="Times New Roman" w:hAnsi="Times New Roman"/>
          <w:sz w:val="22"/>
          <w:szCs w:val="22"/>
        </w:rPr>
      </w:pPr>
      <w:r>
        <w:rPr>
          <w:rFonts w:ascii="Times New Roman" w:hAnsi="Times New Roman"/>
          <w:sz w:val="22"/>
          <w:szCs w:val="22"/>
        </w:rPr>
        <w:t>Both Party rights:</w:t>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5"/>
        </w:numPr>
        <w:jc w:val="both"/>
        <w:rPr>
          <w:rFonts w:ascii="Times New Roman" w:hAnsi="Times New Roman"/>
          <w:sz w:val="22"/>
          <w:szCs w:val="22"/>
        </w:rPr>
      </w:pPr>
      <w:r>
        <w:rPr>
          <w:rFonts w:ascii="Times New Roman" w:hAnsi="Times New Roman"/>
          <w:sz w:val="22"/>
          <w:szCs w:val="22"/>
        </w:rPr>
        <w:t xml:space="preserve">The Parties shall be entitled to terminate and/or suspend this Agreement in whole or part, after giving one-month (30 days) notice in writing to each other. However, this shall not prejudice the rights of MESPL to recover from Service Provider any damages, outstanding or any excess payments to Service Provider. </w:t>
      </w:r>
    </w:p>
    <w:p>
      <w:pPr>
        <w:pStyle w:val="ListParagraph"/>
        <w:numPr>
          <w:ilvl w:val="0"/>
          <w:numId w:val="5"/>
        </w:numPr>
        <w:jc w:val="both"/>
        <w:rPr>
          <w:rFonts w:ascii="Times New Roman" w:hAnsi="Times New Roman"/>
          <w:sz w:val="22"/>
          <w:szCs w:val="22"/>
        </w:rPr>
      </w:pPr>
      <w:r>
        <w:rPr>
          <w:rFonts w:ascii="Times New Roman" w:hAnsi="Times New Roman"/>
          <w:sz w:val="22"/>
          <w:szCs w:val="22"/>
        </w:rPr>
        <w:t>Termination due to insolvency, liquidation or bankruptcy: This Agreement may be terminated by any of the Parties in case of insolvency, liquidation or bankruptcy of the other Party.</w:t>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4"/>
        </w:numPr>
        <w:ind w:left="993" w:hanging="360"/>
        <w:jc w:val="both"/>
        <w:rPr>
          <w:rFonts w:ascii="Times New Roman" w:hAnsi="Times New Roman"/>
          <w:sz w:val="22"/>
          <w:szCs w:val="22"/>
        </w:rPr>
      </w:pPr>
      <w:r>
        <w:rPr>
          <w:rFonts w:ascii="Times New Roman" w:hAnsi="Times New Roman"/>
          <w:sz w:val="22"/>
          <w:szCs w:val="22"/>
        </w:rPr>
        <w:t>Termination by the MESPL:</w:t>
      </w:r>
    </w:p>
    <w:p>
      <w:pPr>
        <w:pStyle w:val="ListParagraph"/>
        <w:ind w:left="927" w:hanging="0"/>
        <w:jc w:val="both"/>
        <w:rPr>
          <w:rFonts w:ascii="Times New Roman" w:hAnsi="Times New Roman"/>
          <w:sz w:val="22"/>
          <w:szCs w:val="22"/>
        </w:rPr>
      </w:pPr>
      <w:r>
        <w:rPr>
          <w:rFonts w:ascii="Times New Roman" w:hAnsi="Times New Roman"/>
          <w:sz w:val="22"/>
          <w:szCs w:val="22"/>
        </w:rPr>
      </w:r>
    </w:p>
    <w:p>
      <w:pPr>
        <w:pStyle w:val="ListParagraph"/>
        <w:numPr>
          <w:ilvl w:val="0"/>
          <w:numId w:val="6"/>
        </w:numPr>
        <w:ind w:left="1276" w:hanging="283"/>
        <w:jc w:val="both"/>
        <w:rPr>
          <w:rFonts w:ascii="Times New Roman" w:hAnsi="Times New Roman"/>
          <w:sz w:val="22"/>
          <w:szCs w:val="22"/>
        </w:rPr>
      </w:pPr>
      <w:r>
        <w:rPr>
          <w:rFonts w:ascii="Times New Roman" w:hAnsi="Times New Roman"/>
          <w:sz w:val="22"/>
          <w:szCs w:val="22"/>
        </w:rPr>
        <w:t>A 7 (Seven) days prior written notice shall be served by MESPL to Service Provider on account of deficiency in Services and negligent approach of Service Provider in execution of Services as per the terms of this Agreement by the Service Provider or in case of any misconduct or unlawful actions of the Service Provider. The Agreement may be terminated by MESPL if the said breach is not remedied by the Service Provider in a period of said 3 (Three) days. MESPL shall have the right to terminate this Agreement with immediate effect in the event of breach of any provisions of this Agreement without cause and liability.</w:t>
      </w:r>
    </w:p>
    <w:p>
      <w:pPr>
        <w:pStyle w:val="ListParagraph"/>
        <w:numPr>
          <w:ilvl w:val="0"/>
          <w:numId w:val="6"/>
        </w:numPr>
        <w:ind w:left="1276" w:hanging="283"/>
        <w:jc w:val="both"/>
        <w:rPr>
          <w:rFonts w:ascii="Times New Roman" w:hAnsi="Times New Roman"/>
          <w:sz w:val="22"/>
          <w:szCs w:val="22"/>
        </w:rPr>
      </w:pPr>
      <w:r>
        <w:rPr>
          <w:rFonts w:ascii="Times New Roman" w:hAnsi="Times New Roman"/>
          <w:sz w:val="22"/>
          <w:szCs w:val="22"/>
        </w:rPr>
        <w:t xml:space="preserve">Termination in case of violation of law: In addition to any other termination rights granted by this Agreement, MESPL may terminate this Agreement immediately without liability upon seven (7) calendar days prior notice in writing if MESPL has any grounds to believe that the Service Provider has any effect of disrepute on MESPL.  </w:t>
      </w:r>
    </w:p>
    <w:p>
      <w:pPr>
        <w:pStyle w:val="ListParagraph"/>
        <w:ind w:left="1276" w:hanging="0"/>
        <w:jc w:val="both"/>
        <w:rPr>
          <w:rFonts w:ascii="Times New Roman" w:hAnsi="Times New Roman"/>
          <w:sz w:val="22"/>
          <w:szCs w:val="22"/>
        </w:rPr>
      </w:pPr>
      <w:r>
        <w:rPr>
          <w:rFonts w:ascii="Times New Roman" w:hAnsi="Times New Roman"/>
          <w:sz w:val="22"/>
          <w:szCs w:val="22"/>
        </w:rPr>
      </w:r>
    </w:p>
    <w:p>
      <w:pPr>
        <w:pStyle w:val="ListParagraph"/>
        <w:numPr>
          <w:ilvl w:val="0"/>
          <w:numId w:val="4"/>
        </w:numPr>
        <w:ind w:left="993" w:hanging="360"/>
        <w:jc w:val="both"/>
        <w:rPr>
          <w:rFonts w:ascii="Times New Roman" w:hAnsi="Times New Roman"/>
          <w:sz w:val="22"/>
          <w:szCs w:val="22"/>
        </w:rPr>
      </w:pPr>
      <w:r>
        <w:rPr>
          <w:rFonts w:ascii="Times New Roman" w:hAnsi="Times New Roman"/>
          <w:sz w:val="22"/>
          <w:szCs w:val="22"/>
        </w:rPr>
        <w:t>Effect of Termination. Upon termination of this Agreement by the Parties or on completion of the Services as mentioned herein, whichever is earlier, the Parties to this Agreement shall forthwith cease to use all trademarks, logos, trade names, identifying slogans or similar intellectual property belonging to the other Party, whether in relation to the Services or otherwise as were permitted to be used for the purpose of this Agreement</w:t>
      </w:r>
    </w:p>
    <w:p>
      <w:pPr>
        <w:pStyle w:val="ListParagraph"/>
        <w:ind w:left="567" w:hanging="0"/>
        <w:jc w:val="both"/>
        <w:rPr>
          <w:rFonts w:ascii="Times New Roman" w:hAnsi="Times New Roman"/>
          <w:sz w:val="22"/>
          <w:szCs w:val="22"/>
        </w:rPr>
      </w:pPr>
      <w:r>
        <w:rPr>
          <w:rFonts w:ascii="Times New Roman" w:hAnsi="Times New Roman"/>
          <w:sz w:val="22"/>
          <w:szCs w:val="22"/>
        </w:rPr>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spacing w:before="0" w:after="160"/>
        <w:ind w:left="567" w:hanging="567"/>
        <w:contextualSpacing/>
        <w:jc w:val="both"/>
        <w:rPr>
          <w:rFonts w:ascii="Times New Roman" w:hAnsi="Times New Roman"/>
          <w:sz w:val="22"/>
          <w:szCs w:val="22"/>
        </w:rPr>
      </w:pPr>
      <w:r>
        <w:rPr>
          <w:rFonts w:ascii="Times New Roman" w:hAnsi="Times New Roman"/>
          <w:b/>
          <w:bCs/>
          <w:sz w:val="22"/>
          <w:szCs w:val="22"/>
        </w:rPr>
        <w:t>Force Majeure</w:t>
      </w:r>
      <w:r>
        <w:rPr>
          <w:rFonts w:ascii="Times New Roman" w:hAnsi="Times New Roman"/>
          <w:sz w:val="22"/>
          <w:szCs w:val="22"/>
        </w:rPr>
        <w:t>: If and to the extent that a Party’s performance of any of its obligations pursuant to this Agreement is prevented, hindered or delayed by reason of fire, flood, earthquake, epidemic, pandemic, explosion or other casualty or accident or act of God, war or other violence, or any applicable law, order proclamation, regulation, ordinance, demand or requirement of any governmental or regulatory authority and such non-performance, hindrance or delay could not have been prevented by reasonable foresight or precautions (including proper planning and execution of the disaster recovery or business continuity plan) or circumvented through the use of alternate sources, work-around plans or other means, (in each case, a “Force Majeure Event”), then the non-performing, hindered or delayed Party will be excused for such non-performance, hindrance or delay, as applicable, of those obligations to the extent that they are affected by the Force Majeure Event for as long as such Force Majeure Event continues and such Party continues to use its commercially reasonable efforts to re-commence performance whenever and to whatever extent possible without delay, including through the use of alternate sources, workaround plans or other means. If the period of non-performance exceeds thirty (30) days from the receipt of notice of the Force Majeure Event, either Party may give written notice to terminate this Agreement.</w:t>
      </w:r>
    </w:p>
    <w:p>
      <w:pPr>
        <w:pStyle w:val="ListParagraph"/>
        <w:ind w:left="567" w:hanging="0"/>
        <w:jc w:val="both"/>
        <w:rPr>
          <w:rFonts w:ascii="Times New Roman" w:hAnsi="Times New Roman"/>
          <w:sz w:val="22"/>
          <w:szCs w:val="22"/>
        </w:rPr>
      </w:pPr>
      <w:r>
        <w:rPr>
          <w:rFonts w:ascii="Times New Roman" w:hAnsi="Times New Roman"/>
          <w:sz w:val="22"/>
          <w:szCs w:val="22"/>
        </w:rPr>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Confidentiality</w:t>
      </w:r>
      <w:r>
        <w:rPr>
          <w:rFonts w:ascii="Times New Roman" w:hAnsi="Times New Roman"/>
          <w:sz w:val="22"/>
          <w:szCs w:val="22"/>
        </w:rPr>
        <w:t>: The Service Provider agrees to maintain the confidentiality of any personal or private information encountered while performing the Services.</w:t>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spacing w:before="0" w:after="160"/>
        <w:ind w:left="567" w:hanging="567"/>
        <w:contextualSpacing/>
        <w:jc w:val="both"/>
        <w:rPr>
          <w:rFonts w:ascii="Times New Roman" w:hAnsi="Times New Roman"/>
          <w:sz w:val="22"/>
          <w:szCs w:val="22"/>
        </w:rPr>
      </w:pPr>
      <w:r>
        <w:rPr>
          <w:rFonts w:ascii="Times New Roman" w:hAnsi="Times New Roman"/>
          <w:b/>
          <w:bCs/>
          <w:sz w:val="22"/>
          <w:szCs w:val="22"/>
        </w:rPr>
        <w:t>Indemnification</w:t>
      </w:r>
      <w:r>
        <w:rPr>
          <w:rFonts w:ascii="Times New Roman" w:hAnsi="Times New Roman"/>
          <w:sz w:val="22"/>
          <w:szCs w:val="22"/>
        </w:rPr>
        <w:t xml:space="preserve">: Service Provider shall fully and effectively indemnify and keep indemnified MESPL from and against, and agree to pay on demand, any and all losses incurred by or awarded against MESPL as a result of any breach of the obligations referenced in this clause. Without prejudice to the foregoing or to any other rights or remedies of MESPL, in the event of any breach of these obligations MESPL reserves right to terminate the Agreement with such preventive steps as may deem fit in law or elsewhere. MESPL shall not be exposed to any claim of employment with MESPL from any personnel deployed or deputed by the Service Provider. Further, the Service Provider shall also ensure that all statutory obligations with regard to such employment or engagement are duly complied with and that MESPL is not exposed to any kind of hardship, loss, damage whatsoever on account of any failure to do so. In the event of any exposure to MESPL on this account, the Service Provider shall indemnify MESPL against all such losses, claims, damage, fines, penalties, legal expenses and all direct and indirect expenses on account of such failure. </w:t>
      </w:r>
    </w:p>
    <w:p>
      <w:pPr>
        <w:pStyle w:val="ListParagraph"/>
        <w:ind w:left="567" w:hanging="0"/>
        <w:jc w:val="both"/>
        <w:rPr>
          <w:rFonts w:ascii="Times New Roman" w:hAnsi="Times New Roman"/>
          <w:sz w:val="22"/>
          <w:szCs w:val="22"/>
        </w:rPr>
      </w:pPr>
      <w:r>
        <w:rPr>
          <w:rFonts w:ascii="Times New Roman" w:hAnsi="Times New Roman"/>
          <w:sz w:val="22"/>
          <w:szCs w:val="22"/>
        </w:rPr>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ind w:left="567" w:hanging="567"/>
        <w:jc w:val="both"/>
        <w:rPr>
          <w:rFonts w:ascii="Times New Roman" w:hAnsi="Times New Roman"/>
          <w:sz w:val="22"/>
          <w:szCs w:val="22"/>
        </w:rPr>
      </w:pPr>
      <w:r>
        <w:rPr>
          <w:rFonts w:ascii="Times New Roman" w:hAnsi="Times New Roman"/>
          <w:b/>
          <w:bCs/>
          <w:sz w:val="22"/>
          <w:szCs w:val="22"/>
        </w:rPr>
        <w:t>Dispute Resolution and Governing laws</w:t>
      </w:r>
      <w:r>
        <w:rPr>
          <w:rFonts w:ascii="Times New Roman" w:hAnsi="Times New Roman"/>
          <w:sz w:val="22"/>
          <w:szCs w:val="22"/>
        </w:rPr>
        <w:t xml:space="preserve">: This Agreement shall be governed by and construed in accordance with the laws of India. The Parties hereby submit to the exclusive jurisdiction of the courts of Gurugram, Haryana, India and any disputes arising out of or in connection with this Agreement shall be resolved exclusively in such courts. </w:t>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spacing w:before="0" w:after="160"/>
        <w:ind w:left="567" w:hanging="567"/>
        <w:contextualSpacing/>
        <w:jc w:val="both"/>
        <w:rPr>
          <w:rFonts w:ascii="Times New Roman" w:hAnsi="Times New Roman"/>
          <w:b/>
          <w:b/>
          <w:bCs/>
          <w:sz w:val="22"/>
          <w:szCs w:val="22"/>
        </w:rPr>
      </w:pPr>
      <w:r>
        <w:rPr>
          <w:rFonts w:ascii="Times New Roman" w:hAnsi="Times New Roman"/>
          <w:b/>
          <w:bCs/>
          <w:sz w:val="22"/>
          <w:szCs w:val="22"/>
        </w:rPr>
        <w:t>Miscellaneous:</w:t>
      </w:r>
    </w:p>
    <w:p>
      <w:pPr>
        <w:pStyle w:val="ListParagraph"/>
        <w:numPr>
          <w:ilvl w:val="0"/>
          <w:numId w:val="7"/>
        </w:numPr>
        <w:spacing w:lineRule="auto" w:line="259" w:before="0" w:after="160"/>
        <w:ind w:left="993" w:hanging="360"/>
        <w:contextualSpacing/>
        <w:jc w:val="both"/>
        <w:rPr>
          <w:rFonts w:ascii="Times New Roman" w:hAnsi="Times New Roman"/>
          <w:sz w:val="22"/>
          <w:szCs w:val="22"/>
        </w:rPr>
      </w:pPr>
      <w:r>
        <w:rPr>
          <w:rFonts w:ascii="Times New Roman" w:hAnsi="Times New Roman"/>
          <w:sz w:val="22"/>
          <w:szCs w:val="22"/>
        </w:rPr>
        <w:t>All notices to either Party shall be deemed to be properly served if sent (by first class pre-paid post, courier, email or comparable means of communication) to their respective address mentioned herein above. For enabling swift business communications, both Parties shall provide their e-mail addresses to expedite official correspondence and documents.</w:t>
      </w:r>
    </w:p>
    <w:p>
      <w:pPr>
        <w:pStyle w:val="ListParagraph"/>
        <w:numPr>
          <w:ilvl w:val="0"/>
          <w:numId w:val="7"/>
        </w:numPr>
        <w:spacing w:lineRule="auto" w:line="259" w:before="0" w:after="160"/>
        <w:ind w:left="993" w:hanging="360"/>
        <w:contextualSpacing/>
        <w:jc w:val="both"/>
        <w:rPr>
          <w:rFonts w:ascii="Times New Roman" w:hAnsi="Times New Roman"/>
          <w:sz w:val="22"/>
          <w:szCs w:val="22"/>
        </w:rPr>
      </w:pPr>
      <w:r>
        <w:rPr>
          <w:rFonts w:ascii="Times New Roman" w:hAnsi="Times New Roman"/>
          <w:sz w:val="22"/>
          <w:szCs w:val="22"/>
        </w:rPr>
        <w:t>Any variation to the terms of this Agreement shall be in writing, signed and accepted by both the Parties hereto.</w:t>
      </w:r>
    </w:p>
    <w:p>
      <w:pPr>
        <w:pStyle w:val="ListParagraph"/>
        <w:numPr>
          <w:ilvl w:val="0"/>
          <w:numId w:val="7"/>
        </w:numPr>
        <w:spacing w:lineRule="auto" w:line="259" w:before="0" w:after="160"/>
        <w:contextualSpacing/>
        <w:jc w:val="both"/>
        <w:rPr>
          <w:rFonts w:ascii="Times New Roman" w:hAnsi="Times New Roman"/>
          <w:sz w:val="22"/>
          <w:szCs w:val="22"/>
        </w:rPr>
      </w:pPr>
      <w:r>
        <w:rPr>
          <w:rFonts w:ascii="Times New Roman" w:hAnsi="Times New Roman"/>
          <w:sz w:val="22"/>
          <w:szCs w:val="22"/>
        </w:rPr>
        <w:t>This Agreement does not in any respect make either Party, an agent or a partner of the other or authorize Service Provider to transact any business in the name of MESPL.</w:t>
      </w:r>
    </w:p>
    <w:p>
      <w:pPr>
        <w:pStyle w:val="ListParagraph"/>
        <w:jc w:val="both"/>
        <w:rPr>
          <w:rFonts w:ascii="Times New Roman" w:hAnsi="Times New Roman"/>
          <w:sz w:val="22"/>
          <w:szCs w:val="22"/>
        </w:rPr>
      </w:pPr>
      <w:r>
        <w:rPr>
          <w:rFonts w:ascii="Times New Roman" w:hAnsi="Times New Roman"/>
          <w:sz w:val="22"/>
          <w:szCs w:val="22"/>
        </w:rPr>
      </w:r>
    </w:p>
    <w:p>
      <w:pPr>
        <w:pStyle w:val="ListParagraph"/>
        <w:numPr>
          <w:ilvl w:val="0"/>
          <w:numId w:val="2"/>
        </w:numPr>
        <w:spacing w:lineRule="auto" w:line="259" w:before="0" w:after="160"/>
        <w:ind w:left="567" w:hanging="567"/>
        <w:contextualSpacing/>
        <w:jc w:val="both"/>
        <w:rPr>
          <w:rFonts w:ascii="Times New Roman" w:hAnsi="Times New Roman"/>
          <w:sz w:val="22"/>
          <w:szCs w:val="22"/>
        </w:rPr>
      </w:pPr>
      <w:r>
        <w:rPr>
          <w:rFonts w:ascii="Times New Roman" w:hAnsi="Times New Roman"/>
          <w:b/>
          <w:bCs/>
          <w:sz w:val="22"/>
          <w:szCs w:val="22"/>
          <w:lang w:eastAsia="en-IN"/>
        </w:rPr>
        <w:t>Entire Agreement:</w:t>
      </w:r>
      <w:r>
        <w:rPr>
          <w:rFonts w:ascii="Times New Roman" w:hAnsi="Times New Roman"/>
          <w:sz w:val="22"/>
          <w:szCs w:val="22"/>
          <w:lang w:eastAsia="en-IN"/>
        </w:rPr>
        <w:t xml:space="preserve"> This Agreement constitutes the entire agreement between the Parties with respect to the subject matter contained herein, and supersedes all prior understandings, agreements and representations between the Parties.</w:t>
      </w:r>
    </w:p>
    <w:p>
      <w:pPr>
        <w:pStyle w:val="ListParagraph"/>
        <w:ind w:left="567" w:hanging="0"/>
        <w:jc w:val="both"/>
        <w:rPr>
          <w:rFonts w:ascii="Times New Roman" w:hAnsi="Times New Roman"/>
          <w:sz w:val="22"/>
          <w:szCs w:val="22"/>
        </w:rPr>
      </w:pPr>
      <w:r>
        <w:rPr>
          <w:rFonts w:ascii="Times New Roman" w:hAnsi="Times New Roman"/>
          <w:sz w:val="22"/>
          <w:szCs w:val="22"/>
        </w:rPr>
      </w:r>
    </w:p>
    <w:p>
      <w:pPr>
        <w:pStyle w:val="ListParagraph"/>
        <w:numPr>
          <w:ilvl w:val="0"/>
          <w:numId w:val="2"/>
        </w:numPr>
        <w:spacing w:lineRule="auto" w:line="259" w:before="0" w:after="160"/>
        <w:ind w:left="567" w:hanging="567"/>
        <w:contextualSpacing/>
        <w:jc w:val="both"/>
        <w:rPr>
          <w:rFonts w:ascii="Times New Roman" w:hAnsi="Times New Roman"/>
          <w:sz w:val="22"/>
          <w:szCs w:val="22"/>
          <w:lang w:eastAsia="en-IN"/>
        </w:rPr>
      </w:pPr>
      <w:r>
        <w:rPr>
          <w:rFonts w:eastAsia="Batang" w:ascii="Times New Roman" w:hAnsi="Times New Roman"/>
          <w:b/>
          <w:sz w:val="22"/>
          <w:szCs w:val="22"/>
          <w:lang w:eastAsia="ko-KR"/>
        </w:rPr>
        <w:t xml:space="preserve">Amendment: </w:t>
      </w:r>
      <w:r>
        <w:rPr>
          <w:rFonts w:ascii="Times New Roman" w:hAnsi="Times New Roman"/>
          <w:sz w:val="22"/>
          <w:szCs w:val="22"/>
          <w:lang w:eastAsia="en-IN"/>
        </w:rPr>
        <w:t>This Agreement may be modified or amended only by a written instrument duly executed by the Parties.</w:t>
      </w:r>
    </w:p>
    <w:p>
      <w:pPr>
        <w:pStyle w:val="Normal"/>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b/>
          <w:bCs/>
        </w:rPr>
        <w:t>IN WITNESS WHEREOF</w:t>
      </w:r>
      <w:r>
        <w:rPr>
          <w:rFonts w:cs="Times New Roman" w:ascii="Times New Roman" w:hAnsi="Times New Roman"/>
        </w:rPr>
        <w:t>, the Parties hereto have hereunto set and subscribed their respective hands and rubber stamps through their respective duly authorized representatives the day and the year first hereinabove written.</w:t>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ind w:left="5760" w:hanging="5760"/>
        <w:jc w:val="both"/>
        <w:rPr>
          <w:rFonts w:ascii="Times New Roman" w:hAnsi="Times New Roman" w:cs="Times New Roman"/>
          <w:lang w:val="en-US"/>
        </w:rPr>
      </w:pPr>
      <w:r>
        <w:rPr>
          <w:rFonts w:cs="Times New Roman" w:ascii="Times New Roman" w:hAnsi="Times New Roman"/>
          <w:b/>
          <w:bCs/>
        </w:rPr>
        <w:t xml:space="preserve">MLL Express Services Private Limited                         </w:t>
        <w:tab/>
      </w:r>
      <w:r>
        <w:rPr>
          <w:rFonts w:cs="Times New Roman" w:ascii="Times New Roman" w:hAnsi="Times New Roman"/>
          <w:b/>
          <w:bCs/>
        </w:rPr>
        <w:t>$</w:t>
      </w:r>
      <w:r>
        <w:rPr>
          <w:rFonts w:cs="Times New Roman" w:ascii="Times New Roman" w:hAnsi="Times New Roman"/>
          <w:b/>
          <w:bCs/>
          <w:shd w:fill="auto" w:val="clear"/>
          <w:lang w:val="en-US"/>
        </w:rPr>
        <w:t>Name_of_Service_Provider</w:t>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t>Prasanna Pahade &amp; Gaurav Rustagi</w:t>
        <w:tab/>
        <w:tab/>
        <w:tab/>
        <w:tab/>
        <w:t xml:space="preserve"> </w:t>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r>
    </w:p>
    <w:p>
      <w:pPr>
        <w:pStyle w:val="Normal"/>
        <w:shd w:val="clear" w:color="auto" w:fill="FFFFFF" w:themeFill="background1"/>
        <w:spacing w:lineRule="auto" w:line="240" w:before="0" w:after="0"/>
        <w:jc w:val="both"/>
        <w:rPr>
          <w:rFonts w:ascii="Times New Roman" w:hAnsi="Times New Roman" w:cs="Times New Roman"/>
        </w:rPr>
      </w:pPr>
      <w:r>
        <w:rPr>
          <w:rFonts w:cs="Times New Roman" w:ascii="Times New Roman" w:hAnsi="Times New Roman"/>
        </w:rPr>
        <w:t>Authorised Signatory</w:t>
        <w:tab/>
        <w:tab/>
        <w:tab/>
        <w:tab/>
        <w:t xml:space="preserve">              </w:t>
        <w:tab/>
        <w:t xml:space="preserve">Authorised Signatory  </w:t>
      </w:r>
    </w:p>
    <w:p>
      <w:pPr>
        <w:pStyle w:val="Normal"/>
        <w:shd w:val="clear" w:color="auto" w:fill="FFFFFF" w:themeFill="background1"/>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shd w:val="clear" w:color="auto" w:fill="FFFFFF" w:themeFill="background1"/>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shd w:val="clear" w:color="auto" w:fill="FFFFFF" w:themeFill="background1"/>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shd w:val="clear" w:color="auto" w:fill="FFFFFF" w:themeFill="background1"/>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shd w:val="clear" w:color="auto" w:fill="FFFFFF" w:themeFill="background1"/>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jc w:val="both"/>
        <w:rPr>
          <w:rFonts w:ascii="Times New Roman" w:hAnsi="Times New Roman" w:cs="Times New Roman"/>
        </w:rPr>
      </w:pPr>
      <w:r>
        <w:rPr>
          <w:rFonts w:cs="Times New Roman" w:ascii="Times New Roman" w:hAnsi="Times New Roman"/>
        </w:rPr>
      </w:r>
    </w:p>
    <w:p>
      <w:pPr>
        <w:pStyle w:val="Heading1"/>
        <w:spacing w:lineRule="auto" w:line="240" w:before="0" w:after="80"/>
        <w:jc w:val="center"/>
        <w:rPr>
          <w:rFonts w:ascii="Times New Roman" w:hAnsi="Times New Roman" w:cs="Times New Roman"/>
          <w:b/>
          <w:b/>
          <w:bCs/>
          <w:color w:val="auto"/>
          <w:sz w:val="22"/>
          <w:szCs w:val="22"/>
          <w:u w:val="single"/>
        </w:rPr>
      </w:pPr>
      <w:r>
        <w:rPr>
          <w:rFonts w:cs="Times New Roman" w:ascii="Times New Roman" w:hAnsi="Times New Roman"/>
          <w:b/>
          <w:bCs/>
          <w:color w:val="auto"/>
          <w:sz w:val="22"/>
          <w:szCs w:val="22"/>
          <w:u w:val="single"/>
        </w:rPr>
        <w:t>SCHEDULE – I</w:t>
      </w:r>
    </w:p>
    <w:p>
      <w:pPr>
        <w:pStyle w:val="Heading1"/>
        <w:spacing w:lineRule="auto" w:line="240" w:before="0" w:after="80"/>
        <w:jc w:val="center"/>
        <w:rPr>
          <w:rFonts w:ascii="Times New Roman" w:hAnsi="Times New Roman" w:cs="Times New Roman"/>
          <w:b/>
          <w:b/>
          <w:bCs/>
          <w:color w:val="auto"/>
          <w:sz w:val="22"/>
          <w:szCs w:val="22"/>
          <w:u w:val="single"/>
        </w:rPr>
      </w:pPr>
      <w:r>
        <w:rPr>
          <w:rFonts w:cs="Times New Roman" w:ascii="Times New Roman" w:hAnsi="Times New Roman"/>
          <w:b/>
          <w:bCs/>
          <w:color w:val="auto"/>
          <w:sz w:val="22"/>
          <w:szCs w:val="22"/>
          <w:u w:val="single"/>
        </w:rPr>
        <w:t>Code Of Conduct: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rPr>
        <w:t>Service Provider</w:t>
      </w:r>
      <w:r>
        <w:rPr>
          <w:rFonts w:cs="Times New Roman" w:ascii="Times New Roman" w:hAnsi="Times New Roman"/>
        </w:rPr>
        <w:t xml:space="preserve"> will strictly observe that they:</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Read and understand the instructions and follow the same.</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Shall not drink alcohol on duty or come drunk and report for duty.</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 xml:space="preserve">Shall not chew tobacco, pan masala or any similar kind of product, and shall not smoke cigarettes, </w:t>
      </w:r>
      <w:r>
        <w:rPr>
          <w:rFonts w:cs="Times New Roman" w:ascii="Times New Roman" w:hAnsi="Times New Roman"/>
          <w:i/>
          <w:iCs/>
        </w:rPr>
        <w:t xml:space="preserve">bidi </w:t>
      </w:r>
      <w:r>
        <w:rPr>
          <w:rFonts w:cs="Times New Roman" w:ascii="Times New Roman" w:hAnsi="Times New Roman"/>
        </w:rPr>
        <w:t>or any other smoking product.</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Shall never sleep while on duty.</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 xml:space="preserve">Should be courteous to the officials/ employees/ staff of the MESPL / clients / customers. </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Shall immediately report if any untoward incident / misconduct or misbehaviour occurs, to Managers.</w:t>
      </w:r>
    </w:p>
    <w:p>
      <w:pPr>
        <w:pStyle w:val="Normal"/>
        <w:numPr>
          <w:ilvl w:val="0"/>
          <w:numId w:val="8"/>
        </w:numPr>
        <w:tabs>
          <w:tab w:val="left" w:pos="720" w:leader="none"/>
        </w:tabs>
        <w:spacing w:lineRule="auto" w:line="240" w:before="0" w:after="0"/>
        <w:ind w:left="720" w:hanging="360"/>
        <w:jc w:val="both"/>
        <w:rPr>
          <w:rFonts w:ascii="Times New Roman" w:hAnsi="Times New Roman" w:cs="Times New Roman"/>
        </w:rPr>
      </w:pPr>
      <w:r>
        <w:rPr>
          <w:rFonts w:cs="Times New Roman" w:ascii="Times New Roman" w:hAnsi="Times New Roman"/>
        </w:rPr>
        <w:t>Shall take periodic rounds around the premises.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ListParagraph"/>
        <w:ind w:left="360" w:hanging="0"/>
        <w:jc w:val="both"/>
        <w:rPr>
          <w:rFonts w:ascii="Times New Roman" w:hAnsi="Times New Roman"/>
          <w:sz w:val="22"/>
          <w:szCs w:val="22"/>
        </w:rPr>
      </w:pPr>
      <w:r>
        <w:rPr>
          <w:rFonts w:ascii="Times New Roman" w:hAnsi="Times New Roman"/>
          <w:sz w:val="22"/>
          <w:szCs w:val="22"/>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ANNEXURE-1</w:t>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Scope Of Work</w:t>
      </w:r>
    </w:p>
    <w:p>
      <w:pPr>
        <w:pStyle w:val="ListParagraph"/>
        <w:ind w:left="3600" w:hanging="0"/>
        <w:jc w:val="both"/>
        <w:rPr>
          <w:rFonts w:ascii="Times New Roman" w:hAnsi="Times New Roman"/>
          <w:b/>
          <w:b/>
          <w:bCs/>
          <w:sz w:val="22"/>
          <w:szCs w:val="22"/>
          <w:u w:val="single"/>
        </w:rPr>
      </w:pPr>
      <w:r>
        <w:rPr>
          <w:rFonts w:ascii="Times New Roman" w:hAnsi="Times New Roman"/>
          <w:b/>
          <w:bCs/>
          <w:sz w:val="22"/>
          <w:szCs w:val="22"/>
          <w:u w:val="single"/>
        </w:rPr>
      </w:r>
    </w:p>
    <w:p>
      <w:pPr>
        <w:pStyle w:val="ListParagraph"/>
        <w:widowControl w:val="false"/>
        <w:numPr>
          <w:ilvl w:val="0"/>
          <w:numId w:val="9"/>
        </w:numPr>
        <w:snapToGrid w:val="false"/>
        <w:spacing w:beforeAutospacing="1" w:after="0"/>
        <w:contextualSpacing/>
        <w:jc w:val="both"/>
        <w:rPr>
          <w:rFonts w:ascii="Times New Roman" w:hAnsi="Times New Roman" w:eastAsia="Calibri"/>
          <w:sz w:val="22"/>
          <w:szCs w:val="22"/>
        </w:rPr>
      </w:pPr>
      <w:r>
        <w:rPr>
          <w:rFonts w:eastAsia="Calibri" w:ascii="Times New Roman" w:hAnsi="Times New Roman"/>
          <w:sz w:val="22"/>
          <w:szCs w:val="22"/>
        </w:rPr>
        <w:t>The Service Provider shall undertake the following activities-</w:t>
      </w:r>
    </w:p>
    <w:p>
      <w:pPr>
        <w:pStyle w:val="ListParagraph"/>
        <w:widowControl w:val="false"/>
        <w:numPr>
          <w:ilvl w:val="1"/>
          <w:numId w:val="10"/>
        </w:numPr>
        <w:snapToGrid w:val="false"/>
        <w:spacing w:beforeAutospacing="1" w:after="0"/>
        <w:contextualSpacing/>
        <w:jc w:val="both"/>
        <w:rPr>
          <w:rFonts w:ascii="Times New Roman" w:hAnsi="Times New Roman" w:eastAsia="Calibri"/>
          <w:sz w:val="22"/>
          <w:szCs w:val="22"/>
        </w:rPr>
      </w:pPr>
      <w:r>
        <w:rPr>
          <w:rFonts w:eastAsia="Calibri" w:ascii="Times New Roman" w:hAnsi="Times New Roman"/>
          <w:sz w:val="22"/>
          <w:szCs w:val="22"/>
        </w:rPr>
        <w:t>Sweeping and mopping the entire floor area including passages, lobbies, stairs, courtyard, meter room and toilets;</w:t>
      </w:r>
    </w:p>
    <w:p>
      <w:pPr>
        <w:pStyle w:val="ListParagraph"/>
        <w:widowControl w:val="false"/>
        <w:numPr>
          <w:ilvl w:val="1"/>
          <w:numId w:val="10"/>
        </w:numPr>
        <w:snapToGrid w:val="false"/>
        <w:spacing w:before="0" w:after="0"/>
        <w:contextualSpacing/>
        <w:jc w:val="both"/>
        <w:rPr>
          <w:rFonts w:ascii="Times New Roman" w:hAnsi="Times New Roman" w:eastAsia="Calibri"/>
          <w:sz w:val="22"/>
          <w:szCs w:val="22"/>
        </w:rPr>
      </w:pPr>
      <w:r>
        <w:rPr>
          <w:rFonts w:eastAsia="Calibri" w:ascii="Times New Roman" w:hAnsi="Times New Roman"/>
          <w:sz w:val="22"/>
          <w:szCs w:val="22"/>
        </w:rPr>
        <w:t>Collection of garbage from dustbins and disposal of garbage in municipal garbage bins;</w:t>
      </w:r>
    </w:p>
    <w:p>
      <w:pPr>
        <w:pStyle w:val="ListParagraph"/>
        <w:widowControl w:val="false"/>
        <w:numPr>
          <w:ilvl w:val="1"/>
          <w:numId w:val="10"/>
        </w:numPr>
        <w:snapToGrid w:val="false"/>
        <w:spacing w:before="0" w:after="0"/>
        <w:contextualSpacing/>
        <w:jc w:val="both"/>
        <w:rPr>
          <w:rFonts w:ascii="Times New Roman" w:hAnsi="Times New Roman" w:eastAsia="Calibri"/>
          <w:sz w:val="22"/>
          <w:szCs w:val="22"/>
        </w:rPr>
      </w:pPr>
      <w:r>
        <w:rPr>
          <w:rFonts w:eastAsia="Calibri" w:ascii="Times New Roman" w:hAnsi="Times New Roman"/>
          <w:sz w:val="22"/>
          <w:szCs w:val="22"/>
        </w:rPr>
        <w:t>Cleaning and dusting the walls, windows, ceilings of common area and terrace; and</w:t>
      </w:r>
    </w:p>
    <w:p>
      <w:pPr>
        <w:pStyle w:val="ListParagraph"/>
        <w:widowControl w:val="false"/>
        <w:numPr>
          <w:ilvl w:val="1"/>
          <w:numId w:val="10"/>
        </w:numPr>
        <w:snapToGrid w:val="false"/>
        <w:spacing w:before="0" w:after="0"/>
        <w:contextualSpacing/>
        <w:jc w:val="both"/>
        <w:rPr>
          <w:rFonts w:ascii="Times New Roman" w:hAnsi="Times New Roman" w:eastAsia="Calibri"/>
          <w:sz w:val="22"/>
          <w:szCs w:val="22"/>
        </w:rPr>
      </w:pPr>
      <w:r>
        <w:rPr>
          <w:rFonts w:eastAsia="Calibri" w:ascii="Times New Roman" w:hAnsi="Times New Roman"/>
          <w:sz w:val="22"/>
          <w:szCs w:val="22"/>
        </w:rPr>
        <w:t xml:space="preserve">Cleaning all furniture, electronic equipment and glass surfaces. </w:t>
      </w:r>
    </w:p>
    <w:p>
      <w:pPr>
        <w:pStyle w:val="Normal"/>
        <w:widowControl w:val="false"/>
        <w:numPr>
          <w:ilvl w:val="0"/>
          <w:numId w:val="9"/>
        </w:numPr>
        <w:snapToGrid w:val="false"/>
        <w:spacing w:lineRule="auto" w:line="240" w:beforeAutospacing="1" w:after="0"/>
        <w:jc w:val="both"/>
        <w:rPr>
          <w:rFonts w:ascii="Times New Roman" w:hAnsi="Times New Roman" w:eastAsia="Calibri" w:cs="Times New Roman"/>
        </w:rPr>
      </w:pPr>
      <w:r>
        <w:rPr>
          <w:rFonts w:eastAsia="Calibri" w:cs="Times New Roman" w:ascii="Times New Roman" w:hAnsi="Times New Roman"/>
        </w:rPr>
        <w:t>The Service Provider may engage personnel to clean and sanitize all designated areas within the premises, including but not limited to offices, restrooms, break rooms, conference rooms, and other spaces.</w:t>
      </w:r>
    </w:p>
    <w:p>
      <w:pPr>
        <w:pStyle w:val="ListParagraph"/>
        <w:widowControl w:val="false"/>
        <w:numPr>
          <w:ilvl w:val="0"/>
          <w:numId w:val="9"/>
        </w:numPr>
        <w:snapToGrid w:val="false"/>
        <w:spacing w:before="0" w:after="0"/>
        <w:contextualSpacing/>
        <w:jc w:val="both"/>
        <w:rPr>
          <w:rFonts w:ascii="Times New Roman" w:hAnsi="Times New Roman" w:eastAsia="Calibri"/>
          <w:sz w:val="22"/>
          <w:szCs w:val="22"/>
        </w:rPr>
      </w:pPr>
      <w:r>
        <w:rPr>
          <w:rFonts w:eastAsia="Calibri" w:ascii="Times New Roman" w:hAnsi="Times New Roman"/>
          <w:sz w:val="22"/>
          <w:szCs w:val="22"/>
        </w:rPr>
        <w:t>The Service Provider shall use quality cleaning supplies and equipment, including but not limited to cleaning chemicals, mops, brooms, vacuum cleaners, and trash bags.</w:t>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ANNEXURE-2</w:t>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Payment Terms</w:t>
      </w:r>
    </w:p>
    <w:p>
      <w:pPr>
        <w:pStyle w:val="Normal"/>
        <w:spacing w:lineRule="auto" w:line="240" w:before="0" w:after="0"/>
        <w:ind w:left="3600" w:hanging="0"/>
        <w:jc w:val="both"/>
        <w:rPr>
          <w:rFonts w:ascii="Times New Roman" w:hAnsi="Times New Roman" w:cs="Times New Roman"/>
        </w:rPr>
      </w:pPr>
      <w:r>
        <w:rPr>
          <w:rFonts w:cs="Times New Roman" w:ascii="Times New Roman" w:hAnsi="Times New Roman"/>
        </w:rPr>
      </w:r>
    </w:p>
    <w:p>
      <w:pPr>
        <w:pStyle w:val="ListParagraph"/>
        <w:numPr>
          <w:ilvl w:val="0"/>
          <w:numId w:val="11"/>
        </w:numPr>
        <w:jc w:val="both"/>
        <w:rPr>
          <w:rFonts w:ascii="Times New Roman" w:hAnsi="Times New Roman"/>
          <w:sz w:val="22"/>
          <w:szCs w:val="22"/>
        </w:rPr>
      </w:pPr>
      <w:r>
        <w:rPr>
          <w:rFonts w:ascii="Times New Roman" w:hAnsi="Times New Roman"/>
          <w:sz w:val="22"/>
          <w:szCs w:val="22"/>
        </w:rPr>
        <w:t xml:space="preserve">MESPL shall be liable to pay the Service Provider an amount of ____________________ on monthly basis, subject to deductions on actuals, for the Services mentioned in Annexure-1. </w:t>
      </w:r>
    </w:p>
    <w:p>
      <w:pPr>
        <w:pStyle w:val="ListParagraph"/>
        <w:numPr>
          <w:ilvl w:val="0"/>
          <w:numId w:val="11"/>
        </w:numPr>
        <w:jc w:val="both"/>
        <w:rPr>
          <w:rFonts w:ascii="Times New Roman" w:hAnsi="Times New Roman"/>
          <w:sz w:val="22"/>
          <w:szCs w:val="22"/>
        </w:rPr>
      </w:pPr>
      <w:r>
        <w:rPr>
          <w:rFonts w:ascii="Times New Roman" w:hAnsi="Times New Roman"/>
          <w:sz w:val="22"/>
          <w:szCs w:val="22"/>
        </w:rPr>
        <w:t>The Service Provider shall submit the monthly invoice/ bills for Services rendered in the preceding month on or before the 5</w:t>
      </w:r>
      <w:r>
        <w:rPr>
          <w:rFonts w:ascii="Times New Roman" w:hAnsi="Times New Roman"/>
          <w:sz w:val="22"/>
          <w:szCs w:val="22"/>
          <w:vertAlign w:val="superscript"/>
        </w:rPr>
        <w:t>th</w:t>
      </w:r>
      <w:r>
        <w:rPr>
          <w:rFonts w:ascii="Times New Roman" w:hAnsi="Times New Roman"/>
          <w:sz w:val="22"/>
          <w:szCs w:val="22"/>
        </w:rPr>
        <w:t xml:space="preserve"> of every month. MESPL shall make the payment within 30 days after submission of correct invoices/ bills.</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ANNEXURE-3</w:t>
      </w:r>
    </w:p>
    <w:p>
      <w:pPr>
        <w:pStyle w:val="Normal"/>
        <w:spacing w:lineRule="auto" w:line="240" w:before="0" w:after="0"/>
        <w:jc w:val="center"/>
        <w:rPr>
          <w:rFonts w:ascii="Times New Roman" w:hAnsi="Times New Roman" w:cs="Times New Roman"/>
          <w:b/>
          <w:b/>
          <w:bCs/>
          <w:u w:val="single"/>
        </w:rPr>
      </w:pPr>
      <w:r>
        <w:rPr>
          <w:rFonts w:cs="Times New Roman" w:ascii="Times New Roman" w:hAnsi="Times New Roman"/>
          <w:b/>
          <w:bCs/>
          <w:u w:val="single"/>
        </w:rPr>
        <w:t>Location</w:t>
      </w:r>
    </w:p>
    <w:p>
      <w:pPr>
        <w:pStyle w:val="Normal"/>
        <w:spacing w:lineRule="auto" w:line="240" w:before="0" w:after="0"/>
        <w:jc w:val="both"/>
        <w:rPr>
          <w:rFonts w:ascii="Times New Roman" w:hAnsi="Times New Roman" w:cs="Times New Roman"/>
          <w:b/>
          <w:b/>
          <w:bCs/>
          <w:u w:val="single"/>
        </w:rPr>
      </w:pPr>
      <w:r>
        <w:rPr>
          <w:rFonts w:cs="Times New Roman" w:ascii="Times New Roman" w:hAnsi="Times New Roman"/>
          <w:b/>
          <w:bCs/>
          <w:u w:val="single"/>
        </w:rPr>
      </w:r>
    </w:p>
    <w:tbl>
      <w:tblPr>
        <w:tblStyle w:val="TableGrid2"/>
        <w:tblW w:w="4300" w:type="pct"/>
        <w:jc w:val="left"/>
        <w:tblInd w:w="988" w:type="dxa"/>
        <w:tblLayout w:type="fixed"/>
        <w:tblCellMar>
          <w:top w:w="0" w:type="dxa"/>
          <w:left w:w="108" w:type="dxa"/>
          <w:bottom w:w="0" w:type="dxa"/>
          <w:right w:w="108" w:type="dxa"/>
        </w:tblCellMar>
        <w:tblLook w:val="04a0" w:noHBand="0" w:noVBand="1" w:firstColumn="1" w:lastRow="0" w:lastColumn="0" w:firstRow="1"/>
      </w:tblPr>
      <w:tblGrid>
        <w:gridCol w:w="1700"/>
        <w:gridCol w:w="992"/>
        <w:gridCol w:w="5070"/>
      </w:tblGrid>
      <w:tr>
        <w:trPr>
          <w:trHeight w:val="330" w:hRule="atLeast"/>
        </w:trPr>
        <w:tc>
          <w:tcPr>
            <w:tcW w:w="1700" w:type="dxa"/>
            <w:tcBorders/>
            <w:vAlign w:val="center"/>
          </w:tcPr>
          <w:p>
            <w:pPr>
              <w:pStyle w:val="Normal"/>
              <w:widowControl w:val="false"/>
              <w:suppressAutoHyphens w:val="true"/>
              <w:spacing w:lineRule="auto" w:line="240" w:before="0" w:after="0"/>
              <w:jc w:val="center"/>
              <w:rPr>
                <w:color w:val="000000"/>
                <w:lang w:eastAsia="en-IN"/>
              </w:rPr>
            </w:pPr>
            <w:r>
              <w:rPr>
                <w:rFonts w:eastAsia="Times New Roman" w:cs="Times New Roman" w:ascii="Times New Roman" w:hAnsi="Times New Roman"/>
                <w:b/>
                <w:bCs/>
                <w:color w:val="000000"/>
                <w:kern w:val="0"/>
                <w:lang w:val="en-US" w:eastAsia="en-IN" w:bidi="ar-SA"/>
              </w:rPr>
              <w:t>Location</w:t>
            </w:r>
          </w:p>
        </w:tc>
        <w:tc>
          <w:tcPr>
            <w:tcW w:w="992" w:type="dxa"/>
            <w:tcBorders/>
            <w:vAlign w:val="center"/>
          </w:tcPr>
          <w:p>
            <w:pPr>
              <w:pStyle w:val="Normal"/>
              <w:widowControl w:val="false"/>
              <w:suppressAutoHyphens w:val="true"/>
              <w:spacing w:lineRule="auto" w:line="240" w:before="0" w:after="0"/>
              <w:jc w:val="center"/>
              <w:rPr>
                <w:color w:val="000000"/>
                <w:lang w:eastAsia="en-IN"/>
              </w:rPr>
            </w:pPr>
            <w:r>
              <w:rPr>
                <w:rFonts w:eastAsia="Times New Roman" w:cs="Times New Roman" w:ascii="Times New Roman" w:hAnsi="Times New Roman"/>
                <w:b/>
                <w:bCs/>
                <w:color w:val="000000"/>
                <w:kern w:val="0"/>
                <w:lang w:val="en-US" w:eastAsia="en-IN" w:bidi="ar-SA"/>
              </w:rPr>
              <w:t>OU</w:t>
            </w:r>
          </w:p>
        </w:tc>
        <w:tc>
          <w:tcPr>
            <w:tcW w:w="5070" w:type="dxa"/>
            <w:tcBorders/>
            <w:vAlign w:val="center"/>
          </w:tcPr>
          <w:p>
            <w:pPr>
              <w:pStyle w:val="Normal"/>
              <w:widowControl w:val="false"/>
              <w:suppressAutoHyphens w:val="true"/>
              <w:spacing w:lineRule="auto" w:line="240" w:before="0" w:after="0"/>
              <w:jc w:val="center"/>
              <w:rPr>
                <w:color w:val="000000"/>
                <w:lang w:eastAsia="en-IN"/>
              </w:rPr>
            </w:pPr>
            <w:r>
              <w:rPr>
                <w:rFonts w:eastAsia="Times New Roman" w:cs="Times New Roman" w:ascii="Times New Roman" w:hAnsi="Times New Roman"/>
                <w:b/>
                <w:bCs/>
                <w:color w:val="000000"/>
                <w:kern w:val="0"/>
                <w:lang w:val="en-US" w:eastAsia="en-IN" w:bidi="ar-SA"/>
              </w:rPr>
              <w:t>Address</w:t>
            </w:r>
          </w:p>
        </w:tc>
      </w:tr>
      <w:tr>
        <w:trPr>
          <w:trHeight w:val="330" w:hRule="atLeast"/>
        </w:trPr>
        <w:tc>
          <w:tcPr>
            <w:tcW w:w="1700" w:type="dxa"/>
            <w:tcBorders/>
            <w:vAlign w:val="center"/>
          </w:tcPr>
          <w:p>
            <w:pPr>
              <w:pStyle w:val="Normal"/>
              <w:widowControl w:val="false"/>
              <w:suppressAutoHyphens w:val="true"/>
              <w:spacing w:lineRule="auto" w:line="240" w:before="0" w:after="0"/>
              <w:jc w:val="center"/>
              <w:rPr>
                <w:color w:val="000000"/>
                <w:lang w:eastAsia="en-IN"/>
              </w:rPr>
            </w:pPr>
            <w:r>
              <w:rPr>
                <w:color w:val="000000"/>
                <w:lang w:eastAsia="en-IN"/>
              </w:rPr>
            </w:r>
          </w:p>
        </w:tc>
        <w:tc>
          <w:tcPr>
            <w:tcW w:w="992" w:type="dxa"/>
            <w:tcBorders/>
            <w:vAlign w:val="center"/>
          </w:tcPr>
          <w:p>
            <w:pPr>
              <w:pStyle w:val="Normal"/>
              <w:widowControl w:val="false"/>
              <w:suppressAutoHyphens w:val="true"/>
              <w:spacing w:lineRule="auto" w:line="240" w:before="0" w:after="0"/>
              <w:jc w:val="left"/>
              <w:rPr>
                <w:color w:val="000000"/>
                <w:lang w:eastAsia="en-IN"/>
              </w:rPr>
            </w:pPr>
            <w:r>
              <w:rPr>
                <w:color w:val="000000"/>
                <w:lang w:eastAsia="en-IN"/>
              </w:rPr>
            </w:r>
          </w:p>
        </w:tc>
        <w:tc>
          <w:tcPr>
            <w:tcW w:w="5070" w:type="dxa"/>
            <w:tcBorders/>
            <w:vAlign w:val="center"/>
          </w:tcPr>
          <w:p>
            <w:pPr>
              <w:pStyle w:val="Normal"/>
              <w:widowControl w:val="false"/>
              <w:suppressAutoHyphens w:val="true"/>
              <w:spacing w:lineRule="auto" w:line="240" w:before="0" w:after="0"/>
              <w:jc w:val="left"/>
              <w:rPr>
                <w:color w:val="000000"/>
                <w:lang w:eastAsia="en-IN"/>
              </w:rPr>
            </w:pPr>
            <w:r>
              <w:rPr>
                <w:color w:val="000000"/>
                <w:lang w:eastAsia="en-IN"/>
              </w:rPr>
            </w:r>
          </w:p>
        </w:tc>
      </w:tr>
    </w:tbl>
    <w:p>
      <w:pPr>
        <w:pStyle w:val="Normal"/>
        <w:spacing w:lineRule="auto" w:line="240" w:before="0" w:after="0"/>
        <w:jc w:val="both"/>
        <w:rPr>
          <w:rFonts w:ascii="Times New Roman" w:hAnsi="Times New Roman" w:cs="Times New Roman"/>
          <w:b/>
          <w:b/>
          <w:bCs/>
          <w:u w:val="single"/>
        </w:rPr>
      </w:pPr>
      <w:r>
        <w:rPr>
          <w:rFonts w:cs="Times New Roman" w:ascii="Times New Roman" w:hAnsi="Times New Roman"/>
          <w:b/>
          <w:bCs/>
          <w:u w:val="single"/>
        </w:rPr>
      </w:r>
    </w:p>
    <w:p>
      <w:pPr>
        <w:pStyle w:val="Normal"/>
        <w:spacing w:before="0" w:after="160"/>
        <w:rPr>
          <w:rFonts w:ascii="Times New Roman" w:hAnsi="Times New Roman" w:cs="Times New Roman"/>
        </w:rPr>
      </w:pPr>
      <w:r>
        <w:rPr/>
      </w:r>
    </w:p>
    <w:sectPr>
      <w:headerReference w:type="even" r:id="rId2"/>
      <w:headerReference w:type="default" r:id="rId3"/>
      <w:headerReference w:type="first" r:id="rId4"/>
      <w:footerReference w:type="first" r:id="rId5"/>
      <w:type w:val="nextPage"/>
      <w:pgSz w:w="11906" w:h="16838"/>
      <w:pgMar w:left="1440" w:right="1440" w:gutter="0" w:header="1134" w:top="3402" w:footer="41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Gill Sans">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Georama SemiExpanded SemiExpand">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993" w:hanging="0"/>
      <w:rPr>
        <w:rFonts w:ascii="Georama SemiExpanded SemiExpand" w:hAnsi="Georama SemiExpanded SemiExpand"/>
        <w:sz w:val="20"/>
        <w:szCs w:val="20"/>
      </w:rPr>
    </w:pPr>
    <w:r>
      <w:drawing>
        <wp:anchor behindDoc="1" distT="0" distB="0" distL="0" distR="0" simplePos="0" locked="0" layoutInCell="0" allowOverlap="1" relativeHeight="21">
          <wp:simplePos x="0" y="0"/>
          <wp:positionH relativeFrom="column">
            <wp:posOffset>4561205</wp:posOffset>
          </wp:positionH>
          <wp:positionV relativeFrom="paragraph">
            <wp:posOffset>117475</wp:posOffset>
          </wp:positionV>
          <wp:extent cx="1800225" cy="193675"/>
          <wp:effectExtent l="0" t="0" r="0" b="0"/>
          <wp:wrapNone/>
          <wp:docPr id="9" name="Picture 1739235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39235860" descr=""/>
                  <pic:cNvPicPr>
                    <a:picLocks noChangeAspect="1" noChangeArrowheads="1"/>
                  </pic:cNvPicPr>
                </pic:nvPicPr>
                <pic:blipFill>
                  <a:blip r:embed="rId1"/>
                  <a:srcRect l="2577" t="0" r="2749" b="0"/>
                  <a:stretch>
                    <a:fillRect/>
                  </a:stretch>
                </pic:blipFill>
                <pic:spPr bwMode="auto">
                  <a:xfrm>
                    <a:off x="0" y="0"/>
                    <a:ext cx="1800225" cy="193675"/>
                  </a:xfrm>
                  <a:prstGeom prst="rect">
                    <a:avLst/>
                  </a:prstGeom>
                </pic:spPr>
              </pic:pic>
            </a:graphicData>
          </a:graphic>
        </wp:anchor>
      </w:drawing>
    </w:r>
    <w:r>
      <w:rPr>
        <w:rFonts w:ascii="Georama SemiExpanded SemiExpand" w:hAnsi="Georama SemiExpanded SemiExpand"/>
        <w:sz w:val="20"/>
        <w:szCs w:val="20"/>
      </w:rPr>
      <w:t xml:space="preserve">Reg Office: Mahindra Towers, </w:t>
    </w:r>
  </w:p>
  <w:p>
    <w:pPr>
      <w:pStyle w:val="Footer"/>
      <w:ind w:left="-993" w:hanging="0"/>
      <w:rPr>
        <w:rFonts w:ascii="Georama SemiExpanded SemiExpand" w:hAnsi="Georama SemiExpanded SemiExpand"/>
        <w:sz w:val="20"/>
        <w:szCs w:val="20"/>
      </w:rPr>
    </w:pPr>
    <w:r>
      <w:rPr>
        <w:rFonts w:ascii="Georama SemiExpanded SemiExpand" w:hAnsi="Georama SemiExpanded SemiExpand"/>
        <w:sz w:val="20"/>
        <w:szCs w:val="20"/>
      </w:rPr>
      <w:t>P.K. Kurne Chowk, Worli, Mumbai - 400018</w:t>
    </w:r>
  </w:p>
  <w:p>
    <w:pPr>
      <w:pStyle w:val="Footer"/>
      <w:jc w:val="center"/>
      <w:rPr>
        <w:rFonts w:ascii="Georama SemiExpanded SemiExpand" w:hAnsi="Georama SemiExpanded SemiExpand"/>
        <w:sz w:val="20"/>
        <w:szCs w:val="20"/>
      </w:rPr>
    </w:pPr>
    <w:r>
      <w:rPr>
        <w:rFonts w:ascii="Georama SemiExpanded SemiExpand" w:hAnsi="Georama SemiExpanded SemiExpand"/>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0" distB="0" distL="0" distR="0" simplePos="0" locked="0" layoutInCell="0" allowOverlap="1" relativeHeight="8" wp14:anchorId="1326F00F">
              <wp:simplePos x="0" y="0"/>
              <wp:positionH relativeFrom="column">
                <wp:posOffset>0</wp:posOffset>
              </wp:positionH>
              <wp:positionV relativeFrom="paragraph">
                <wp:posOffset>635</wp:posOffset>
              </wp:positionV>
              <wp:extent cx="2732405" cy="2002790"/>
              <wp:effectExtent l="0" t="0" r="0" b="0"/>
              <wp:wrapNone/>
              <wp:docPr id="1" name="Group 1"/>
              <a:graphic xmlns:a="http://schemas.openxmlformats.org/drawingml/2006/main">
                <a:graphicData uri="http://schemas.microsoft.com/office/word/2010/wordprocessingGroup">
                  <wpg:wgp>
                    <wpg:cNvGrpSpPr/>
                    <wpg:grpSpPr>
                      <a:xfrm>
                        <a:off x="0" y="0"/>
                        <a:ext cx="2732400" cy="2002680"/>
                        <a:chOff x="0" y="0"/>
                        <a:chExt cx="2732400" cy="2002680"/>
                      </a:xfrm>
                    </wpg:grpSpPr>
                    <pic:pic xmlns:pic="http://schemas.openxmlformats.org/drawingml/2006/picture">
                      <pic:nvPicPr>
                        <pic:cNvPr id="0" name="Picture 1334109754" descr=""/>
                        <pic:cNvPicPr/>
                      </pic:nvPicPr>
                      <pic:blipFill>
                        <a:blip r:embed="rId1"/>
                        <a:srcRect l="0" t="10433" r="0" b="10433"/>
                        <a:stretch/>
                      </pic:blipFill>
                      <pic:spPr>
                        <a:xfrm>
                          <a:off x="628560" y="0"/>
                          <a:ext cx="2103840" cy="612000"/>
                        </a:xfrm>
                        <a:prstGeom prst="rect">
                          <a:avLst/>
                        </a:prstGeom>
                        <a:ln w="0">
                          <a:noFill/>
                        </a:ln>
                      </pic:spPr>
                    </pic:pic>
                    <pic:pic xmlns:pic="http://schemas.openxmlformats.org/drawingml/2006/picture">
                      <pic:nvPicPr>
                        <pic:cNvPr id="1" name="Picture 171681565" descr="A close-up of a computer screen&#10;&#10;Description automatically generated"/>
                        <pic:cNvPicPr/>
                      </pic:nvPicPr>
                      <pic:blipFill>
                        <a:blip r:embed="rId2"/>
                        <a:srcRect l="789" t="64644" r="81645" b="0"/>
                        <a:stretch/>
                      </pic:blipFill>
                      <pic:spPr>
                        <a:xfrm>
                          <a:off x="0" y="1239480"/>
                          <a:ext cx="1332360" cy="763200"/>
                        </a:xfrm>
                        <a:prstGeom prst="rect">
                          <a:avLst/>
                        </a:prstGeom>
                        <a:ln w="0">
                          <a:noFill/>
                        </a:ln>
                      </pic:spPr>
                    </pic:pic>
                  </wpg:wgp>
                </a:graphicData>
              </a:graphic>
            </wp:anchor>
          </w:drawing>
        </mc:Choice>
        <mc:Fallback>
          <w:pict>
            <v:group id="shape_0" alt="Group 1" style="position:absolute;margin-left:0pt;margin-top:0.05pt;width:215.15pt;height:157.7pt" coordorigin="0,1" coordsize="4303,3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334109754" stroked="f" o:allowincell="f" style="position:absolute;left:990;top:1;width:3312;height:963;mso-wrap-style:none;v-text-anchor:middle" type="_x0000_t75">
                <v:imagedata r:id="rId1" o:detectmouseclick="t"/>
                <v:stroke color="#3465a4" joinstyle="round" endcap="flat"/>
                <w10:wrap type="none"/>
              </v:shape>
              <v:shape id="shape_0" ID="Picture 171681565" stroked="f" o:allowincell="f" style="position:absolute;left:0;top:1953;width:2097;height:1201;mso-wrap-style:none;v-text-anchor:middle" type="_x0000_t75">
                <v:imagedata r:id="rId2" o:detectmouseclick="t"/>
                <v:stroke color="#3465a4" joinstyle="round" endcap="flat"/>
                <w10:wrap type="none"/>
              </v:shape>
            </v:group>
          </w:pict>
        </mc:Fallback>
      </mc:AlternateContent>
      <w:drawing>
        <wp:anchor behindDoc="1" distT="0" distB="0" distL="0" distR="0" simplePos="0" locked="0" layoutInCell="1" allowOverlap="1" relativeHeight="0">
          <wp:simplePos x="0" y="0"/>
          <wp:positionH relativeFrom="column">
            <wp:posOffset>4411980</wp:posOffset>
          </wp:positionH>
          <wp:positionV relativeFrom="paragraph">
            <wp:posOffset>-319405</wp:posOffset>
          </wp:positionV>
          <wp:extent cx="2042160" cy="307340"/>
          <wp:effectExtent l="0" t="0" r="0" b="0"/>
          <wp:wrapNone/>
          <wp:docPr id="2" name="Picture 7374269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37426964" descr=""/>
                  <pic:cNvPicPr>
                    <a:picLocks noChangeAspect="1" noChangeArrowheads="1"/>
                  </pic:cNvPicPr>
                </pic:nvPicPr>
                <pic:blipFill>
                  <a:blip r:embed="rId3"/>
                  <a:stretch>
                    <a:fillRect/>
                  </a:stretch>
                </pic:blipFill>
                <pic:spPr bwMode="auto">
                  <a:xfrm>
                    <a:off x="0" y="0"/>
                    <a:ext cx="2042160" cy="30734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mc:AlternateContent>
        <mc:Choice Requires="wps">
          <w:drawing>
            <wp:anchor behindDoc="1" distT="635" distB="0" distL="0" distR="0" simplePos="0" locked="0" layoutInCell="0" allowOverlap="1" relativeHeight="6" wp14:anchorId="1037F3F9">
              <wp:simplePos x="0" y="0"/>
              <wp:positionH relativeFrom="margin">
                <wp:align>left</wp:align>
              </wp:positionH>
              <wp:positionV relativeFrom="paragraph">
                <wp:posOffset>603885</wp:posOffset>
              </wp:positionV>
              <wp:extent cx="410210" cy="709295"/>
              <wp:effectExtent l="0" t="635" r="0" b="0"/>
              <wp:wrapNone/>
              <wp:docPr id="3" name="Rectangle 5"/>
              <a:graphic xmlns:a="http://schemas.openxmlformats.org/drawingml/2006/main">
                <a:graphicData uri="http://schemas.microsoft.com/office/word/2010/wordprocessingShape">
                  <wps:wsp>
                    <wps:cNvSpPr/>
                    <wps:spPr>
                      <a:xfrm>
                        <a:off x="0" y="0"/>
                        <a:ext cx="410040" cy="709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0pt;margin-top:47.55pt;width:32.25pt;height:55.8pt;mso-wrap-style:none;v-text-anchor:middle;mso-position-horizontal:left;mso-position-horizontal-relative:margin" wp14:anchorId="1037F3F9">
              <v:fill o:detectmouseclick="t" type="solid" color2="black"/>
              <v:stroke color="#3465a4" weight="12600" joinstyle="miter" endcap="flat"/>
              <w10:wrap type="none"/>
            </v:rect>
          </w:pict>
        </mc:Fallback>
      </mc:AlternateContent>
      <mc:AlternateContent>
        <mc:Choice Requires="wpg">
          <w:drawing>
            <wp:anchor behindDoc="1" distT="0" distB="0" distL="0" distR="0" simplePos="0" locked="0" layoutInCell="0" allowOverlap="1" relativeHeight="13" wp14:anchorId="65D82D03">
              <wp:simplePos x="0" y="0"/>
              <wp:positionH relativeFrom="column">
                <wp:posOffset>-1257300</wp:posOffset>
              </wp:positionH>
              <wp:positionV relativeFrom="paragraph">
                <wp:posOffset>-348615</wp:posOffset>
              </wp:positionV>
              <wp:extent cx="2714625" cy="2058670"/>
              <wp:effectExtent l="0" t="0" r="0" b="0"/>
              <wp:wrapNone/>
              <wp:docPr id="4" name="Group 1"/>
              <a:graphic xmlns:a="http://schemas.openxmlformats.org/drawingml/2006/main">
                <a:graphicData uri="http://schemas.microsoft.com/office/word/2010/wordprocessingGroup">
                  <wpg:wgp>
                    <wpg:cNvGrpSpPr/>
                    <wpg:grpSpPr>
                      <a:xfrm>
                        <a:off x="0" y="0"/>
                        <a:ext cx="2714760" cy="2058840"/>
                        <a:chOff x="0" y="0"/>
                        <a:chExt cx="2714760" cy="2058840"/>
                      </a:xfrm>
                    </wpg:grpSpPr>
                    <pic:pic xmlns:pic="http://schemas.openxmlformats.org/drawingml/2006/picture">
                      <pic:nvPicPr>
                        <pic:cNvPr id="2" name="Picture 2020654404" descr=""/>
                        <pic:cNvPicPr/>
                      </pic:nvPicPr>
                      <pic:blipFill>
                        <a:blip r:embed="rId1"/>
                        <a:srcRect l="1899" t="0" r="2337" b="49"/>
                        <a:stretch/>
                      </pic:blipFill>
                      <pic:spPr>
                        <a:xfrm>
                          <a:off x="733320" y="0"/>
                          <a:ext cx="1981080" cy="765000"/>
                        </a:xfrm>
                        <a:prstGeom prst="rect">
                          <a:avLst/>
                        </a:prstGeom>
                        <a:ln w="0">
                          <a:noFill/>
                        </a:ln>
                      </pic:spPr>
                    </pic:pic>
                    <pic:pic xmlns:pic="http://schemas.openxmlformats.org/drawingml/2006/picture">
                      <pic:nvPicPr>
                        <pic:cNvPr id="3" name="Picture 948534098" descr="A close-up of a computer screen&#10;&#10;Description automatically generated"/>
                        <pic:cNvPicPr/>
                      </pic:nvPicPr>
                      <pic:blipFill>
                        <a:blip r:embed="rId2"/>
                        <a:srcRect l="789" t="64644" r="81645" b="0"/>
                        <a:stretch/>
                      </pic:blipFill>
                      <pic:spPr>
                        <a:xfrm>
                          <a:off x="0" y="1296000"/>
                          <a:ext cx="1332360" cy="762480"/>
                        </a:xfrm>
                        <a:prstGeom prst="rect">
                          <a:avLst/>
                        </a:prstGeom>
                        <a:ln w="0">
                          <a:noFill/>
                        </a:ln>
                      </pic:spPr>
                    </pic:pic>
                  </wpg:wgp>
                </a:graphicData>
              </a:graphic>
            </wp:anchor>
          </w:drawing>
        </mc:Choice>
        <mc:Fallback>
          <w:pict>
            <v:group id="shape_0" alt="Group 1" style="position:absolute;margin-left:-99pt;margin-top:-27.45pt;width:213.7pt;height:162.1pt" coordorigin="-1980,-549" coordsize="4274,3242">
              <v:shape id="shape_0" ID="Picture 2020654404" stroked="f" o:allowincell="f" style="position:absolute;left:-825;top:-549;width:3119;height:1204;mso-wrap-style:none;v-text-anchor:middle" type="_x0000_t75">
                <v:imagedata r:id="rId1" o:detectmouseclick="t"/>
                <v:stroke color="#3465a4" joinstyle="round" endcap="flat"/>
                <w10:wrap type="none"/>
              </v:shape>
              <v:shape id="shape_0" ID="Picture 948534098" stroked="f" o:allowincell="f" style="position:absolute;left:-1980;top:1492;width:2097;height:1200;mso-wrap-style:none;v-text-anchor:middle" type="_x0000_t75">
                <v:imagedata r:id="rId2" o:detectmouseclick="t"/>
                <v:stroke color="#3465a4" joinstyle="round" endcap="flat"/>
                <w10:wrap type="none"/>
              </v:shape>
            </v:group>
          </w:pict>
        </mc:Fallback>
      </mc:AlternateContent>
      <w:drawing>
        <wp:anchor behindDoc="1" distT="0" distB="0" distL="0" distR="0" simplePos="0" locked="0" layoutInCell="0" allowOverlap="1" relativeHeight="20">
          <wp:simplePos x="0" y="0"/>
          <wp:positionH relativeFrom="column">
            <wp:posOffset>4600575</wp:posOffset>
          </wp:positionH>
          <wp:positionV relativeFrom="paragraph">
            <wp:posOffset>-329565</wp:posOffset>
          </wp:positionV>
          <wp:extent cx="1799590" cy="187325"/>
          <wp:effectExtent l="0" t="0" r="0" b="0"/>
          <wp:wrapNone/>
          <wp:docPr id="5" name="Picture 2007703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07703397" descr=""/>
                  <pic:cNvPicPr>
                    <a:picLocks noChangeAspect="1" noChangeArrowheads="1"/>
                  </pic:cNvPicPr>
                </pic:nvPicPr>
                <pic:blipFill>
                  <a:blip r:embed="rId3"/>
                  <a:srcRect l="2419" t="-2154" r="2698" b="4991"/>
                  <a:stretch>
                    <a:fillRect/>
                  </a:stretch>
                </pic:blipFill>
                <pic:spPr bwMode="auto">
                  <a:xfrm>
                    <a:off x="0" y="0"/>
                    <a:ext cx="1799590" cy="187325"/>
                  </a:xfrm>
                  <a:prstGeom prst="rect">
                    <a:avLst/>
                  </a:prstGeom>
                </pic:spPr>
              </pic:pic>
            </a:graphicData>
          </a:graphic>
        </wp:anchor>
      </w:drawing>
    </w: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0" distB="0" distL="0" distR="0" simplePos="0" locked="0" layoutInCell="0" allowOverlap="1" relativeHeight="7" wp14:anchorId="430DE2DF">
              <wp:simplePos x="0" y="0"/>
              <wp:positionH relativeFrom="column">
                <wp:posOffset>-1257300</wp:posOffset>
              </wp:positionH>
              <wp:positionV relativeFrom="paragraph">
                <wp:posOffset>-348615</wp:posOffset>
              </wp:positionV>
              <wp:extent cx="2628900" cy="1964055"/>
              <wp:effectExtent l="0" t="0" r="0" b="0"/>
              <wp:wrapNone/>
              <wp:docPr id="6" name="Group 1"/>
              <a:graphic xmlns:a="http://schemas.openxmlformats.org/drawingml/2006/main">
                <a:graphicData uri="http://schemas.microsoft.com/office/word/2010/wordprocessingGroup">
                  <wpg:wgp>
                    <wpg:cNvGrpSpPr/>
                    <wpg:grpSpPr>
                      <a:xfrm>
                        <a:off x="0" y="0"/>
                        <a:ext cx="2629080" cy="1964160"/>
                        <a:chOff x="0" y="0"/>
                        <a:chExt cx="2629080" cy="1964160"/>
                      </a:xfrm>
                    </wpg:grpSpPr>
                    <pic:pic xmlns:pic="http://schemas.openxmlformats.org/drawingml/2006/picture">
                      <pic:nvPicPr>
                        <pic:cNvPr id="4" name="Picture 320679977" descr=""/>
                        <pic:cNvPicPr/>
                      </pic:nvPicPr>
                      <pic:blipFill>
                        <a:blip r:embed="rId1"/>
                        <a:srcRect l="1899" t="0" r="2337" b="49"/>
                        <a:stretch/>
                      </pic:blipFill>
                      <pic:spPr>
                        <a:xfrm>
                          <a:off x="647640" y="0"/>
                          <a:ext cx="1981080" cy="765720"/>
                        </a:xfrm>
                        <a:prstGeom prst="rect">
                          <a:avLst/>
                        </a:prstGeom>
                        <a:ln w="0">
                          <a:noFill/>
                        </a:ln>
                      </pic:spPr>
                    </pic:pic>
                    <pic:pic xmlns:pic="http://schemas.openxmlformats.org/drawingml/2006/picture">
                      <pic:nvPicPr>
                        <pic:cNvPr id="5" name="Picture 1350905835" descr="A close-up of a computer screen&#10;&#10;Description automatically generated"/>
                        <pic:cNvPicPr/>
                      </pic:nvPicPr>
                      <pic:blipFill>
                        <a:blip r:embed="rId2"/>
                        <a:srcRect l="789" t="64644" r="81645" b="0"/>
                        <a:stretch/>
                      </pic:blipFill>
                      <pic:spPr>
                        <a:xfrm>
                          <a:off x="0" y="1200960"/>
                          <a:ext cx="1333440" cy="763200"/>
                        </a:xfrm>
                        <a:prstGeom prst="rect">
                          <a:avLst/>
                        </a:prstGeom>
                        <a:ln w="0">
                          <a:noFill/>
                        </a:ln>
                      </pic:spPr>
                    </pic:pic>
                  </wpg:wgp>
                </a:graphicData>
              </a:graphic>
            </wp:anchor>
          </w:drawing>
        </mc:Choice>
        <mc:Fallback>
          <w:pict>
            <v:group id="shape_0" alt="Group 1" style="position:absolute;margin-left:-99pt;margin-top:-27.45pt;width:206.95pt;height:154.65pt" coordorigin="-1980,-549" coordsize="4139,3093">
              <v:shape id="shape_0" ID="Picture 320679977" stroked="f" o:allowincell="f" style="position:absolute;left:-960;top:-549;width:3119;height:1205;mso-wrap-style:none;v-text-anchor:middle" type="_x0000_t75">
                <v:imagedata r:id="rId1" o:detectmouseclick="t"/>
                <v:stroke color="#3465a4" joinstyle="round" endcap="flat"/>
                <w10:wrap type="none"/>
              </v:shape>
              <v:shape id="shape_0" ID="Picture 1350905835" stroked="f" o:allowincell="f" style="position:absolute;left:-1980;top:1342;width:2099;height:1201;mso-wrap-style:none;v-text-anchor:middl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4" wp14:anchorId="5D2ADEFC">
              <wp:simplePos x="0" y="0"/>
              <wp:positionH relativeFrom="column">
                <wp:posOffset>3133725</wp:posOffset>
              </wp:positionH>
              <wp:positionV relativeFrom="paragraph">
                <wp:posOffset>-367665</wp:posOffset>
              </wp:positionV>
              <wp:extent cx="3140075" cy="1704975"/>
              <wp:effectExtent l="0" t="0" r="0" b="0"/>
              <wp:wrapNone/>
              <wp:docPr id="7" name="Text Box 808578159"/>
              <a:graphic xmlns:a="http://schemas.openxmlformats.org/drawingml/2006/main">
                <a:graphicData uri="http://schemas.microsoft.com/office/word/2010/wordprocessingShape">
                  <wps:wsp>
                    <wps:cNvSpPr/>
                    <wps:spPr>
                      <a:xfrm>
                        <a:off x="0" y="0"/>
                        <a:ext cx="3139920" cy="1704960"/>
                      </a:xfrm>
                      <a:prstGeom prst="rect">
                        <a:avLst/>
                      </a:prstGeom>
                      <a:noFill/>
                      <a:ln w="6350">
                        <a:noFill/>
                      </a:ln>
                    </wps:spPr>
                    <wps:style>
                      <a:lnRef idx="0"/>
                      <a:fillRef idx="0"/>
                      <a:effectRef idx="0"/>
                      <a:fontRef idx="minor"/>
                    </wps:style>
                    <wps:txbx>
                      <w:txbxContent>
                        <w:p>
                          <w:pPr>
                            <w:pStyle w:val="FrameContents"/>
                            <w:spacing w:lineRule="auto" w:line="240" w:before="0" w:after="0"/>
                            <w:rPr>
                              <w:rFonts w:ascii="Georama SemiExpanded SemiExpand" w:hAnsi="Georama SemiExpanded SemiExpand" w:cs="GeoramaExpanded-Bold"/>
                              <w:b/>
                              <w:b/>
                              <w:bCs/>
                              <w:sz w:val="20"/>
                              <w:szCs w:val="20"/>
                            </w:rPr>
                          </w:pPr>
                          <w:r>
                            <w:rPr>
                              <w:rFonts w:cs="GeoramaExpanded-Bold" w:ascii="Georama SemiExpanded SemiExpand" w:hAnsi="Georama SemiExpanded SemiExpand"/>
                              <w:b/>
                              <w:bCs/>
                              <w:color w:val="000000"/>
                              <w:sz w:val="20"/>
                              <w:szCs w:val="20"/>
                            </w:rPr>
                            <w:t>MLL Express Services Private Limited</w:t>
                          </w:r>
                        </w:p>
                        <w:p>
                          <w:pPr>
                            <w:pStyle w:val="FrameContents"/>
                            <w:spacing w:lineRule="auto" w:line="240" w:before="0" w:after="0"/>
                            <w:rPr>
                              <w:rFonts w:ascii="Georama SemiExpanded SemiExpand" w:hAnsi="Georama SemiExpanded SemiExpand" w:cs="GeoramaExpanded-Bold"/>
                              <w:sz w:val="14"/>
                              <w:szCs w:val="14"/>
                            </w:rPr>
                          </w:pPr>
                          <w:r>
                            <w:rPr>
                              <w:rFonts w:cs="GeoramaExpanded-Bold" w:ascii="Georama SemiExpanded SemiExpand" w:hAnsi="Georama SemiExpanded SemiExpand"/>
                              <w:color w:val="000000"/>
                              <w:sz w:val="14"/>
                              <w:szCs w:val="14"/>
                            </w:rPr>
                            <w:t>(Formerly known as Meru Travel Solutions Private Limited)</w:t>
                          </w:r>
                        </w:p>
                        <w:p>
                          <w:pPr>
                            <w:pStyle w:val="FrameContents"/>
                            <w:spacing w:lineRule="auto" w:line="240" w:before="0" w:after="0"/>
                            <w:rPr>
                              <w:rFonts w:ascii="Georama SemiExpanded SemiExpand" w:hAnsi="Georama SemiExpanded SemiExpand" w:cs="GeoramaExpanded-Bold"/>
                              <w:sz w:val="14"/>
                              <w:szCs w:val="14"/>
                            </w:rPr>
                          </w:pPr>
                          <w:r>
                            <w:rPr>
                              <w:rFonts w:cs="GeoramaExpanded-Bold" w:ascii="Georama SemiExpanded SemiExpand" w:hAnsi="Georama SemiExpanded SemiExpand"/>
                              <w:color w:val="000000"/>
                              <w:sz w:val="14"/>
                              <w:szCs w:val="14"/>
                            </w:rPr>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Arena Space, 10</w:t>
                          </w:r>
                          <w:r>
                            <w:rPr>
                              <w:rFonts w:cs="GeoramaSemiExpanded-Regular" w:ascii="Georama SemiExpanded SemiExpand" w:hAnsi="Georama SemiExpanded SemiExpand"/>
                              <w:color w:val="000000"/>
                              <w:sz w:val="20"/>
                              <w:szCs w:val="20"/>
                              <w:vertAlign w:val="superscript"/>
                            </w:rPr>
                            <w:t>th</w:t>
                          </w:r>
                          <w:r>
                            <w:rPr>
                              <w:rFonts w:cs="GeoramaSemiExpanded-Regular" w:ascii="Georama SemiExpanded SemiExpand" w:hAnsi="Georama SemiExpanded SemiExpand"/>
                              <w:color w:val="000000"/>
                              <w:sz w:val="20"/>
                              <w:szCs w:val="20"/>
                            </w:rPr>
                            <w:t xml:space="preserve"> &amp; 11</w:t>
                          </w:r>
                          <w:r>
                            <w:rPr>
                              <w:rFonts w:cs="GeoramaSemiExpanded-Regular" w:ascii="Georama SemiExpanded SemiExpand" w:hAnsi="Georama SemiExpanded SemiExpand"/>
                              <w:color w:val="000000"/>
                              <w:sz w:val="20"/>
                              <w:szCs w:val="20"/>
                              <w:vertAlign w:val="superscript"/>
                            </w:rPr>
                            <w:t>th</w:t>
                          </w:r>
                          <w:r>
                            <w:rPr>
                              <w:rFonts w:cs="GeoramaSemiExpanded-Regular" w:ascii="Georama SemiExpanded SemiExpand" w:hAnsi="Georama SemiExpanded SemiExpand"/>
                              <w:color w:val="000000"/>
                              <w:sz w:val="20"/>
                              <w:szCs w:val="20"/>
                            </w:rPr>
                            <w:t xml:space="preserve"> Floor,</w:t>
                          </w:r>
                        </w:p>
                        <w:p>
                          <w:pPr>
                            <w:pStyle w:val="FrameContents"/>
                            <w:spacing w:lineRule="auto" w:line="240" w:before="0" w:after="0"/>
                            <w:rPr>
                              <w:rFonts w:ascii="Georama SemiExpanded SemiExpand" w:hAnsi="Georama SemiExpanded SemiExpand" w:cs="GeoramaSemiExpanded-Regular"/>
                              <w:sz w:val="18"/>
                              <w:szCs w:val="18"/>
                            </w:rPr>
                          </w:pPr>
                          <w:r>
                            <w:rPr>
                              <w:rFonts w:cs="GeoramaSemiExpanded-Regular" w:ascii="Georama SemiExpanded SemiExpand" w:hAnsi="Georama SemiExpanded SemiExpand"/>
                              <w:color w:val="000000"/>
                              <w:sz w:val="20"/>
                              <w:szCs w:val="20"/>
                            </w:rPr>
                            <w:t>Plot No. 20, Jogeshwari Vikhroli Link Road,</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Near Majas Bus Depot, Jogeshwari (East),</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Mumbai – 400060, Maharashtra.</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Tel: +91 22 6836 7900</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Email: enquiries@mahindralogistics.com</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www.mahindralogistics.com</w:t>
                          </w:r>
                        </w:p>
                        <w:p>
                          <w:pPr>
                            <w:pStyle w:val="FrameContents"/>
                            <w:spacing w:before="0" w:after="160"/>
                            <w:rPr>
                              <w:rFonts w:ascii="Georama SemiExpanded SemiExpand" w:hAnsi="Georama SemiExpanded SemiExpand"/>
                              <w:sz w:val="20"/>
                              <w:szCs w:val="20"/>
                            </w:rPr>
                          </w:pPr>
                          <w:r>
                            <w:rPr>
                              <w:rFonts w:cs="GeoramaSemiExpanded-Regular" w:ascii="Georama SemiExpanded SemiExpand" w:hAnsi="Georama SemiExpanded SemiExpand"/>
                              <w:color w:val="000000"/>
                              <w:sz w:val="20"/>
                              <w:szCs w:val="20"/>
                            </w:rPr>
                            <w:t>CIN: U63040MH2006PTC165956</w:t>
                          </w:r>
                        </w:p>
                      </w:txbxContent>
                    </wps:txbx>
                    <wps:bodyPr anchor="t">
                      <a:noAutofit/>
                    </wps:bodyPr>
                  </wps:wsp>
                </a:graphicData>
              </a:graphic>
            </wp:anchor>
          </w:drawing>
        </mc:Choice>
        <mc:Fallback>
          <w:pict>
            <v:rect id="shape_0" ID="Text Box 808578159" path="m0,0l-2147483645,0l-2147483645,-2147483646l0,-2147483646xe" stroked="f" o:allowincell="f" style="position:absolute;margin-left:246.75pt;margin-top:-28.95pt;width:247.2pt;height:134.2pt;mso-wrap-style:square;v-text-anchor:top" wp14:anchorId="5D2ADEFC">
              <v:fill o:detectmouseclick="t" on="false"/>
              <v:stroke color="#3465a4" weight="6480" joinstyle="round" endcap="flat"/>
              <v:textbox>
                <w:txbxContent>
                  <w:p>
                    <w:pPr>
                      <w:pStyle w:val="FrameContents"/>
                      <w:spacing w:lineRule="auto" w:line="240" w:before="0" w:after="0"/>
                      <w:rPr>
                        <w:rFonts w:ascii="Georama SemiExpanded SemiExpand" w:hAnsi="Georama SemiExpanded SemiExpand" w:cs="GeoramaExpanded-Bold"/>
                        <w:b/>
                        <w:b/>
                        <w:bCs/>
                        <w:sz w:val="20"/>
                        <w:szCs w:val="20"/>
                      </w:rPr>
                    </w:pPr>
                    <w:r>
                      <w:rPr>
                        <w:rFonts w:cs="GeoramaExpanded-Bold" w:ascii="Georama SemiExpanded SemiExpand" w:hAnsi="Georama SemiExpanded SemiExpand"/>
                        <w:b/>
                        <w:bCs/>
                        <w:color w:val="000000"/>
                        <w:sz w:val="20"/>
                        <w:szCs w:val="20"/>
                      </w:rPr>
                      <w:t>MLL Express Services Private Limited</w:t>
                    </w:r>
                  </w:p>
                  <w:p>
                    <w:pPr>
                      <w:pStyle w:val="FrameContents"/>
                      <w:spacing w:lineRule="auto" w:line="240" w:before="0" w:after="0"/>
                      <w:rPr>
                        <w:rFonts w:ascii="Georama SemiExpanded SemiExpand" w:hAnsi="Georama SemiExpanded SemiExpand" w:cs="GeoramaExpanded-Bold"/>
                        <w:sz w:val="14"/>
                        <w:szCs w:val="14"/>
                      </w:rPr>
                    </w:pPr>
                    <w:r>
                      <w:rPr>
                        <w:rFonts w:cs="GeoramaExpanded-Bold" w:ascii="Georama SemiExpanded SemiExpand" w:hAnsi="Georama SemiExpanded SemiExpand"/>
                        <w:color w:val="000000"/>
                        <w:sz w:val="14"/>
                        <w:szCs w:val="14"/>
                      </w:rPr>
                      <w:t>(Formerly known as Meru Travel Solutions Private Limited)</w:t>
                    </w:r>
                  </w:p>
                  <w:p>
                    <w:pPr>
                      <w:pStyle w:val="FrameContents"/>
                      <w:spacing w:lineRule="auto" w:line="240" w:before="0" w:after="0"/>
                      <w:rPr>
                        <w:rFonts w:ascii="Georama SemiExpanded SemiExpand" w:hAnsi="Georama SemiExpanded SemiExpand" w:cs="GeoramaExpanded-Bold"/>
                        <w:sz w:val="14"/>
                        <w:szCs w:val="14"/>
                      </w:rPr>
                    </w:pPr>
                    <w:r>
                      <w:rPr>
                        <w:rFonts w:cs="GeoramaExpanded-Bold" w:ascii="Georama SemiExpanded SemiExpand" w:hAnsi="Georama SemiExpanded SemiExpand"/>
                        <w:color w:val="000000"/>
                        <w:sz w:val="14"/>
                        <w:szCs w:val="14"/>
                      </w:rPr>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Arena Space, 10</w:t>
                    </w:r>
                    <w:r>
                      <w:rPr>
                        <w:rFonts w:cs="GeoramaSemiExpanded-Regular" w:ascii="Georama SemiExpanded SemiExpand" w:hAnsi="Georama SemiExpanded SemiExpand"/>
                        <w:color w:val="000000"/>
                        <w:sz w:val="20"/>
                        <w:szCs w:val="20"/>
                        <w:vertAlign w:val="superscript"/>
                      </w:rPr>
                      <w:t>th</w:t>
                    </w:r>
                    <w:r>
                      <w:rPr>
                        <w:rFonts w:cs="GeoramaSemiExpanded-Regular" w:ascii="Georama SemiExpanded SemiExpand" w:hAnsi="Georama SemiExpanded SemiExpand"/>
                        <w:color w:val="000000"/>
                        <w:sz w:val="20"/>
                        <w:szCs w:val="20"/>
                      </w:rPr>
                      <w:t xml:space="preserve"> &amp; 11</w:t>
                    </w:r>
                    <w:r>
                      <w:rPr>
                        <w:rFonts w:cs="GeoramaSemiExpanded-Regular" w:ascii="Georama SemiExpanded SemiExpand" w:hAnsi="Georama SemiExpanded SemiExpand"/>
                        <w:color w:val="000000"/>
                        <w:sz w:val="20"/>
                        <w:szCs w:val="20"/>
                        <w:vertAlign w:val="superscript"/>
                      </w:rPr>
                      <w:t>th</w:t>
                    </w:r>
                    <w:r>
                      <w:rPr>
                        <w:rFonts w:cs="GeoramaSemiExpanded-Regular" w:ascii="Georama SemiExpanded SemiExpand" w:hAnsi="Georama SemiExpanded SemiExpand"/>
                        <w:color w:val="000000"/>
                        <w:sz w:val="20"/>
                        <w:szCs w:val="20"/>
                      </w:rPr>
                      <w:t xml:space="preserve"> Floor,</w:t>
                    </w:r>
                  </w:p>
                  <w:p>
                    <w:pPr>
                      <w:pStyle w:val="FrameContents"/>
                      <w:spacing w:lineRule="auto" w:line="240" w:before="0" w:after="0"/>
                      <w:rPr>
                        <w:rFonts w:ascii="Georama SemiExpanded SemiExpand" w:hAnsi="Georama SemiExpanded SemiExpand" w:cs="GeoramaSemiExpanded-Regular"/>
                        <w:sz w:val="18"/>
                        <w:szCs w:val="18"/>
                      </w:rPr>
                    </w:pPr>
                    <w:r>
                      <w:rPr>
                        <w:rFonts w:cs="GeoramaSemiExpanded-Regular" w:ascii="Georama SemiExpanded SemiExpand" w:hAnsi="Georama SemiExpanded SemiExpand"/>
                        <w:color w:val="000000"/>
                        <w:sz w:val="20"/>
                        <w:szCs w:val="20"/>
                      </w:rPr>
                      <w:t>Plot No. 20, Jogeshwari Vikhroli Link Road,</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Near Majas Bus Depot, Jogeshwari (East),</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Mumbai – 400060, Maharashtra.</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Tel: +91 22 6836 7900</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Email: enquiries@mahindralogistics.com</w:t>
                    </w:r>
                  </w:p>
                  <w:p>
                    <w:pPr>
                      <w:pStyle w:val="FrameContents"/>
                      <w:spacing w:lineRule="auto" w:line="240" w:before="0" w:after="0"/>
                      <w:rPr>
                        <w:rFonts w:ascii="Georama SemiExpanded SemiExpand" w:hAnsi="Georama SemiExpanded SemiExpand" w:cs="GeoramaSemiExpanded-Regular"/>
                        <w:sz w:val="20"/>
                        <w:szCs w:val="20"/>
                      </w:rPr>
                    </w:pPr>
                    <w:r>
                      <w:rPr>
                        <w:rFonts w:cs="GeoramaSemiExpanded-Regular" w:ascii="Georama SemiExpanded SemiExpand" w:hAnsi="Georama SemiExpanded SemiExpand"/>
                        <w:color w:val="000000"/>
                        <w:sz w:val="20"/>
                        <w:szCs w:val="20"/>
                      </w:rPr>
                      <w:t>www.mahindralogistics.com</w:t>
                    </w:r>
                  </w:p>
                  <w:p>
                    <w:pPr>
                      <w:pStyle w:val="FrameContents"/>
                      <w:spacing w:before="0" w:after="160"/>
                      <w:rPr>
                        <w:rFonts w:ascii="Georama SemiExpanded SemiExpand" w:hAnsi="Georama SemiExpanded SemiExpand"/>
                        <w:sz w:val="20"/>
                        <w:szCs w:val="20"/>
                      </w:rPr>
                    </w:pPr>
                    <w:r>
                      <w:rPr>
                        <w:rFonts w:cs="GeoramaSemiExpanded-Regular" w:ascii="Georama SemiExpanded SemiExpand" w:hAnsi="Georama SemiExpanded SemiExpand"/>
                        <w:color w:val="000000"/>
                        <w:sz w:val="20"/>
                        <w:szCs w:val="20"/>
                      </w:rPr>
                      <w:t>CIN: U63040MH2006PTC165956</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b w:val="false"/>
        <w:bCs w:val="false"/>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080" w:hanging="72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440" w:hanging="108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1800" w:hanging="1440"/>
      </w:pPr>
      <w:rPr/>
    </w:lvl>
  </w:abstractNum>
  <w:abstractNum w:abstractNumId="3">
    <w:lvl w:ilvl="0">
      <w:start w:val="1"/>
      <w:numFmt w:val="lowerLetter"/>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Roman"/>
      <w:lvlText w:val="%1."/>
      <w:lvlJc w:val="left"/>
      <w:pPr>
        <w:tabs>
          <w:tab w:val="num" w:pos="0"/>
        </w:tabs>
        <w:ind w:left="1440" w:hanging="72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lowerRoman"/>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upperLetter"/>
      <w:lvlText w:val="%1."/>
      <w:lvlJc w:val="left"/>
      <w:pPr>
        <w:tabs>
          <w:tab w:val="num" w:pos="0"/>
        </w:tabs>
        <w:ind w:left="930" w:hanging="570"/>
      </w:pPr>
      <w:rPr/>
    </w:lvl>
    <w:lvl w:ilvl="1">
      <w:start w:val="1"/>
      <w:numFmt w:val="lowerLetter"/>
      <w:lvlText w:val="%2."/>
      <w:lvlJc w:val="left"/>
      <w:pPr>
        <w:tabs>
          <w:tab w:val="num" w:pos="0"/>
        </w:tabs>
        <w:ind w:left="785"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501"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unhideWhenUsed="1" w:qFormat="1"/>
    <w:lsdException w:name="header" w:unhideWhenUsed="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Mangal"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qFormat/>
    <w:pPr>
      <w:keepNext w:val="true"/>
      <w:keepLines/>
      <w:spacing w:before="360" w:after="80"/>
      <w:outlineLvl w:val="0"/>
    </w:pPr>
    <w:rPr>
      <w:rFonts w:ascii="Calibri Light" w:hAnsi="Calibri Light" w:eastAsia="等线 Light" w:cs="Mangal" w:asciiTheme="majorHAnsi" w:cstheme="majorBidi" w:eastAsiaTheme="majorEastAsia" w:hAnsiTheme="majorHAnsi"/>
      <w:color w:val="2F5496" w:themeColor="accent1" w:themeShade="bf"/>
      <w:kern w:val="2"/>
      <w:sz w:val="40"/>
      <w:szCs w:val="40"/>
      <w14:ligatures w14:val="standardContextual"/>
    </w:rPr>
  </w:style>
  <w:style w:type="character" w:styleId="DefaultParagraphFont" w:default="1">
    <w:name w:val="Default Paragraph Font"/>
    <w:uiPriority w:val="1"/>
    <w:unhideWhenUsed/>
    <w:qFormat/>
    <w:rPr/>
  </w:style>
  <w:style w:type="character" w:styleId="Annotationreference">
    <w:name w:val="annotation reference"/>
    <w:basedOn w:val="DefaultParagraphFont"/>
    <w:semiHidden/>
    <w:unhideWhenUsed/>
    <w:qFormat/>
    <w:rPr>
      <w:sz w:val="16"/>
      <w:szCs w:val="16"/>
    </w:rPr>
  </w:style>
  <w:style w:type="character" w:styleId="InternetLink">
    <w:name w:val="Hyperlink"/>
    <w:basedOn w:val="DefaultParagraphFont"/>
    <w:unhideWhenUsed/>
    <w:qFormat/>
    <w:rPr>
      <w:color w:val="0563C1" w:themeColor="hyperlink"/>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CommentTextChar" w:customStyle="1">
    <w:name w:val="Comment Text Char"/>
    <w:basedOn w:val="DefaultParagraphFont"/>
    <w:link w:val="Annotationtext"/>
    <w:qFormat/>
    <w:rPr>
      <w:rFonts w:ascii="Gill Sans" w:hAnsi="Gill Sans" w:eastAsia="Times New Roman" w:cs="Times New Roman"/>
      <w:spacing w:val="8"/>
      <w:sz w:val="20"/>
      <w:szCs w:val="20"/>
      <w:lang w:val="en-US"/>
    </w:rPr>
  </w:style>
  <w:style w:type="character" w:styleId="ListParagraphChar" w:customStyle="1">
    <w:name w:val="List Paragraph Char"/>
    <w:link w:val="ListParagraph"/>
    <w:uiPriority w:val="99"/>
    <w:qFormat/>
    <w:locked/>
    <w:rPr>
      <w:rFonts w:ascii="Gill Sans" w:hAnsi="Gill Sans" w:eastAsia="Times New Roman" w:cs="Times New Roman"/>
      <w:spacing w:val="8"/>
      <w:sz w:val="24"/>
      <w:szCs w:val="24"/>
      <w:lang w:val="en-US"/>
    </w:rPr>
  </w:style>
  <w:style w:type="character" w:styleId="Heading1Char" w:customStyle="1">
    <w:name w:val="Heading 1 Char"/>
    <w:basedOn w:val="DefaultParagraphFont"/>
    <w:link w:val="Heading1"/>
    <w:qFormat/>
    <w:rPr>
      <w:rFonts w:ascii="Calibri Light" w:hAnsi="Calibri Light" w:eastAsia="等线 Light" w:cs="Mangal" w:asciiTheme="majorHAnsi" w:cstheme="majorBidi" w:eastAsiaTheme="majorEastAsia" w:hAnsiTheme="majorHAnsi"/>
      <w:color w:val="2F5496" w:themeColor="accent1" w:themeShade="bf"/>
      <w:kern w:val="2"/>
      <w:sz w:val="40"/>
      <w:szCs w:val="40"/>
      <w14:ligatures w14:val="standardContextual"/>
    </w:rPr>
  </w:style>
  <w:style w:type="character" w:styleId="BodyTextChar" w:customStyle="1">
    <w:name w:val="Body Text Char"/>
    <w:basedOn w:val="DefaultParagraphFont"/>
    <w:qFormat/>
    <w:rPr>
      <w:rFonts w:ascii="Arial" w:hAnsi="Arial" w:eastAsia="Times New Roman" w:cs="Times New Roman"/>
      <w:color w:val="000000"/>
      <w:sz w:val="18"/>
      <w:szCs w:val="20"/>
      <w:lang w:val="en-US"/>
    </w:rPr>
  </w:style>
  <w:style w:type="character" w:styleId="CommentSubjectChar" w:customStyle="1">
    <w:name w:val="Comment Subject Char"/>
    <w:basedOn w:val="CommentTextChar"/>
    <w:link w:val="Annotationsubject"/>
    <w:uiPriority w:val="99"/>
    <w:semiHidden/>
    <w:qFormat/>
    <w:rPr>
      <w:rFonts w:ascii="Gill Sans" w:hAnsi="Gill Sans" w:eastAsia="Times New Roman" w:cs="Times New Roman"/>
      <w:b/>
      <w:bCs/>
      <w:spacing w:val="8"/>
      <w:sz w:val="20"/>
      <w:szCs w:val="20"/>
      <w:lang w:val="en-US" w:eastAsia="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240" w:before="0" w:after="0"/>
    </w:pPr>
    <w:rPr>
      <w:rFonts w:ascii="Arial" w:hAnsi="Arial" w:eastAsia="Times New Roman" w:cs="Times New Roman"/>
      <w:color w:val="000000"/>
      <w:sz w:val="18"/>
      <w:szCs w:val="20"/>
      <w:lang w:val="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CommentTextChar"/>
    <w:unhideWhenUsed/>
    <w:qFormat/>
    <w:pPr>
      <w:spacing w:lineRule="auto" w:line="240" w:before="0" w:after="0"/>
    </w:pPr>
    <w:rPr>
      <w:rFonts w:ascii="Gill Sans" w:hAnsi="Gill Sans" w:eastAsia="Times New Roman" w:cs="Times New Roman"/>
      <w:spacing w:val="8"/>
      <w:sz w:val="20"/>
      <w:szCs w:val="20"/>
      <w:lang w:val="en-US"/>
    </w:rPr>
  </w:style>
  <w:style w:type="paragraph" w:styleId="Annotationsubject">
    <w:name w:val="annotation subject"/>
    <w:basedOn w:val="Annotationtext"/>
    <w:next w:val="Annotationtext"/>
    <w:link w:val="CommentSubjectChar"/>
    <w:uiPriority w:val="99"/>
    <w:semiHidden/>
    <w:unhideWhenUsed/>
    <w:qFormat/>
    <w:pPr>
      <w:spacing w:before="0" w:after="160"/>
    </w:pPr>
    <w:rPr>
      <w:rFonts w:ascii="Calibri" w:hAnsi="Calibri" w:eastAsia="Calibri" w:cs="Mangal" w:asciiTheme="minorHAnsi" w:cstheme="minorBidi" w:eastAsiaTheme="minorHAnsi" w:hAnsiTheme="minorHAnsi"/>
      <w:b/>
      <w:bCs/>
      <w:spacing w:val="0"/>
      <w:lang w:val="en-IN"/>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513" w:leader="none"/>
        <w:tab w:val="right" w:pos="9026" w:leader="none"/>
      </w:tabs>
      <w:spacing w:lineRule="auto" w:line="240" w:before="0" w:after="0"/>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style>
  <w:style w:type="paragraph" w:styleId="NoSpacing">
    <w:name w:val="No Spacing"/>
    <w:uiPriority w:val="1"/>
    <w:qFormat/>
    <w:pPr>
      <w:widowControl/>
      <w:suppressAutoHyphens w:val="true"/>
      <w:bidi w:val="0"/>
      <w:spacing w:before="0" w:after="0"/>
      <w:jc w:val="left"/>
    </w:pPr>
    <w:rPr>
      <w:rFonts w:ascii="Calibri" w:hAnsi="Calibri" w:eastAsia="Calibri" w:cs="Mangal" w:asciiTheme="minorHAnsi" w:cstheme="minorBidi" w:eastAsiaTheme="minorHAnsi" w:hAnsiTheme="minorHAnsi"/>
      <w:color w:val="auto"/>
      <w:kern w:val="0"/>
      <w:sz w:val="22"/>
      <w:szCs w:val="22"/>
      <w:lang w:val="en-IN" w:eastAsia="en-US" w:bidi="ar-SA"/>
    </w:rPr>
  </w:style>
  <w:style w:type="paragraph" w:styleId="ListParagraph">
    <w:name w:val="List Paragraph"/>
    <w:basedOn w:val="Normal"/>
    <w:link w:val="ListParagraphChar"/>
    <w:uiPriority w:val="99"/>
    <w:qFormat/>
    <w:pPr>
      <w:spacing w:lineRule="auto" w:line="240" w:before="0" w:after="0"/>
      <w:ind w:left="720" w:hanging="0"/>
      <w:contextualSpacing/>
    </w:pPr>
    <w:rPr>
      <w:rFonts w:ascii="Gill Sans" w:hAnsi="Gill Sans" w:eastAsia="Times New Roman" w:cs="Times New Roman"/>
      <w:spacing w:val="8"/>
      <w:sz w:val="24"/>
      <w:szCs w:val="24"/>
      <w:lang w:val="en-US"/>
    </w:rPr>
  </w:style>
  <w:style w:type="paragraph" w:styleId="Default" w:customStyle="1">
    <w:name w:val="Default"/>
    <w:qFormat/>
    <w:pPr>
      <w:widowControl/>
      <w:suppressAutoHyphens w:val="true"/>
      <w:bidi w:val="0"/>
      <w:spacing w:before="0" w:after="0"/>
      <w:jc w:val="left"/>
    </w:pPr>
    <w:rPr>
      <w:rFonts w:ascii="Arial" w:hAnsi="Arial" w:eastAsia="Times New Roman" w:cs="Arial"/>
      <w:color w:val="000000"/>
      <w:kern w:val="0"/>
      <w:sz w:val="24"/>
      <w:szCs w:val="24"/>
      <w:lang w:val="en-US" w:eastAsia="en-IN" w:bidi="ar-SA"/>
    </w:rPr>
  </w:style>
  <w:style w:type="paragraph" w:styleId="Revision">
    <w:name w:val="Revision"/>
    <w:uiPriority w:val="99"/>
    <w:unhideWhenUsed/>
    <w:qFormat/>
    <w:rsid w:val="00b518e2"/>
    <w:pPr>
      <w:widowControl/>
      <w:suppressAutoHyphens w:val="true"/>
      <w:bidi w:val="0"/>
      <w:spacing w:before="0" w:after="0"/>
      <w:jc w:val="left"/>
    </w:pPr>
    <w:rPr>
      <w:rFonts w:ascii="Calibri" w:hAnsi="Calibri" w:eastAsia="Calibri" w:cs="Mangal" w:asciiTheme="minorHAnsi" w:cstheme="minorBidi" w:eastAsiaTheme="minorHAnsi" w:hAnsiTheme="minorHAnsi"/>
      <w:color w:val="auto"/>
      <w:kern w:val="0"/>
      <w:sz w:val="22"/>
      <w:szCs w:val="22"/>
      <w:lang w:val="en-IN"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qFormat/>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2">
    <w:name w:val="Table Grid2"/>
    <w:basedOn w:val="TableNormal"/>
    <w:qFormat/>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5.png"/>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C02CA4243F2B43A8691AF8D6684A51" ma:contentTypeVersion="5" ma:contentTypeDescription="Create a new document." ma:contentTypeScope="" ma:versionID="49b731878bec6a83d4ff51e202b7510b">
  <xsd:schema xmlns:xsd="http://www.w3.org/2001/XMLSchema" xmlns:xs="http://www.w3.org/2001/XMLSchema" xmlns:p="http://schemas.microsoft.com/office/2006/metadata/properties" xmlns:ns2="d6127310-7467-4b19-b929-34fca48bc14e" xmlns:ns3="df07f66e-d03d-429a-98ec-f56f5a2945ac" xmlns:ns4="4498b869-a8ec-480e-ba2d-f9d859a2de3b" xmlns:ns5="f2470e28-f6b6-4e7b-9f9f-d39d74fb8aa7" targetNamespace="http://schemas.microsoft.com/office/2006/metadata/properties" ma:root="true" ma:fieldsID="3c19ecfbeca8acaa3b92e1b3db261cf5" ns2:_="" ns3:_="" ns4:_="" ns5:_="">
    <xsd:import namespace="d6127310-7467-4b19-b929-34fca48bc14e"/>
    <xsd:import namespace="df07f66e-d03d-429a-98ec-f56f5a2945ac"/>
    <xsd:import namespace="4498b869-a8ec-480e-ba2d-f9d859a2de3b"/>
    <xsd:import namespace="f2470e28-f6b6-4e7b-9f9f-d39d74fb8a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3:SharedWithUsers" minOccurs="0"/>
                <xsd:element ref="ns3:SharedWithDetails" minOccurs="0"/>
                <xsd:element ref="ns2:MediaServiceObjectDetectorVersions" minOccurs="0"/>
                <xsd:element ref="ns4:lcf76f155ced4ddcb4097134ff3c332f" minOccurs="0"/>
                <xsd:element ref="ns5:TaxCatchAll"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27310-7467-4b19-b929-34fca48bc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07f66e-d03d-429a-98ec-f56f5a2945a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98b869-a8ec-480e-ba2d-f9d859a2de3b" elementFormDefault="qualified">
    <xsd:import namespace="http://schemas.microsoft.com/office/2006/documentManagement/types"/>
    <xsd:import namespace="http://schemas.microsoft.com/office/infopath/2007/PartnerControls"/>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ac89e42-1943-4ea5-89f2-8ab7f22f10f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470e28-f6b6-4e7b-9f9f-d39d74fb8aa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076293af-3b56-4e7f-b534-ebab43af213e}" ma:internalName="TaxCatchAll" ma:showField="CatchAllData" ma:web="f2470e28-f6b6-4e7b-9f9f-d39d74fb8a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98b869-a8ec-480e-ba2d-f9d859a2de3b">
      <Terms xmlns="http://schemas.microsoft.com/office/infopath/2007/PartnerControls"/>
    </lcf76f155ced4ddcb4097134ff3c332f>
    <TaxCatchAll xmlns="f2470e28-f6b6-4e7b-9f9f-d39d74fb8aa7" xsi:nil="true"/>
  </documentManagement>
</p:properties>
</file>

<file path=customXml/itemProps1.xml><?xml version="1.0" encoding="utf-8"?>
<ds:datastoreItem xmlns:ds="http://schemas.openxmlformats.org/officeDocument/2006/customXml" ds:itemID="{A89FB109-3E4F-43BB-B441-1E5D90A4F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27310-7467-4b19-b929-34fca48bc14e"/>
    <ds:schemaRef ds:uri="df07f66e-d03d-429a-98ec-f56f5a2945ac"/>
    <ds:schemaRef ds:uri="4498b869-a8ec-480e-ba2d-f9d859a2de3b"/>
    <ds:schemaRef ds:uri="f2470e28-f6b6-4e7b-9f9f-d39d74fb8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EDC1916-D726-41FD-BEB4-2D6C53476F14}">
  <ds:schemaRefs>
    <ds:schemaRef ds:uri="http://schemas.microsoft.com/sharepoint/v3/contenttype/forms"/>
  </ds:schemaRefs>
</ds:datastoreItem>
</file>

<file path=customXml/itemProps4.xml><?xml version="1.0" encoding="utf-8"?>
<ds:datastoreItem xmlns:ds="http://schemas.openxmlformats.org/officeDocument/2006/customXml" ds:itemID="{19A0A15F-DF6B-4294-8C52-3C65895E1D45}">
  <ds:schemaRefs>
    <ds:schemaRef ds:uri="http://schemas.microsoft.com/office/2006/metadata/properties"/>
    <ds:schemaRef ds:uri="http://schemas.microsoft.com/office/infopath/2007/PartnerControls"/>
    <ds:schemaRef ds:uri="4498b869-a8ec-480e-ba2d-f9d859a2de3b"/>
    <ds:schemaRef ds:uri="f2470e28-f6b6-4e7b-9f9f-d39d74fb8aa7"/>
  </ds:schemaRefs>
</ds:datastoreItem>
</file>

<file path=docProps/app.xml><?xml version="1.0" encoding="utf-8"?>
<Properties xmlns="http://schemas.openxmlformats.org/officeDocument/2006/extended-properties" xmlns:vt="http://schemas.openxmlformats.org/officeDocument/2006/docPropsVTypes">
  <Template>MLL Word Doc template with address 14 Sept 23</Template>
  <TotalTime>31</TotalTime>
  <Application>LibreOffice/7.3.7.2$Linux_X86_64 LibreOffice_project/30$Build-2</Application>
  <AppVersion>15.0000</AppVersion>
  <Pages>6</Pages>
  <Words>2045</Words>
  <Characters>11141</Characters>
  <CharactersWithSpaces>13124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2025-11-20T10:39:00Z</dcterms:created>
  <dc:creator>CHACKO MOBIN</dc:creator>
  <dc:description/>
  <dc:language>en-IN</dc:language>
  <cp:lastModifiedBy/>
  <dcterms:modified xsi:type="dcterms:W3CDTF">2026-02-23T18:20:34Z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0x010100D8C02CA4243F2B43A8691AF8D6684A51</vt:lpwstr>
  </property>
  <property fmtid="{D5CDD505-2E9C-101B-9397-08002B2CF9AE}" pid="3" name="ICV">
    <vt:lpwstr>9230A7889A7B42BF8FD899BD63708B76_13</vt:lpwstr>
  </property>
  <property fmtid="{D5CDD505-2E9C-101B-9397-08002B2CF9AE}" pid="4" name="KSOProductBuildVer">
    <vt:lpwstr>1033-12.2.0.23155</vt:lpwstr>
  </property>
</Properties>
</file>