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Requirements (Functional &amp; Non-functional)</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40" w:before="20"/>
            </w:pPr>
            <w:r/>
            <w:r>
              <w:rPr>
                <w:b w:val="0"/>
                <w:sz w:val="16"/>
              </w:rPr>
              <w:t>26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40" w:before="20"/>
            </w:pPr>
            <w:r/>
            <w:r>
              <w:rPr>
                <w:b w:val="0"/>
                <w:sz w:val="16"/>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before="20"/>
            </w:pPr>
            <w:r/>
            <w:r>
              <w:rPr>
                <w:b w:val="0"/>
                <w:sz w:val="16"/>
              </w:rPr>
              <w:t>Electric Vehicle Market Performance &amp; Insights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0" w:lineRule="auto"/>
        <w:rPr>
          <w:b w:val="1"/>
          <w:bCs w:val="1"/>
        </w:rPr>
      </w:pPr>
      <w:r w:rsidDel="00000000" w:rsidR="00000000" w:rsidRPr="00000000">
        <w:rPr>
          <w:b w:val="1"/>
          <w:bCs w:val="1"/>
          <w:rtl w:val="0"/>
        </w:rPr>
        <w:t xml:space="preserve">Functional Requirements:</w:t>
      </w:r>
    </w:p>
    <w:p w:rsidR="00000000" w:rsidDel="00000000" w:rsidP="00000000" w:rsidRDefault="00000000" w:rsidRPr="00000000" w14:paraId="0000000D">
      <w:pPr>
        <w:rPr/>
      </w:pPr>
      <w:r w:rsidDel="00000000" w:rsidR="00000000" w:rsidRPr="00000000">
        <w:rPr>
          <w:rtl w:val="0"/>
        </w:rPr>
        <w:t xml:space="preserve">Following are the functional requirements of the proposed solution.</w:t>
      </w:r>
    </w:p>
    <w:tbl>
      <w:tblPr>
        <w:tblStyle w:val="Table2"/>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5078232226188"/>
        <w:gridCol w:w="2015.5503705737033"/>
        <w:gridCol w:w="3357.970903101839"/>
        <w:gridCol w:w="3357.970903101839"/>
        <w:tblGridChange w:id="0">
          <w:tblGrid>
            <w:gridCol w:w="592.5078232226188"/>
            <w:gridCol w:w="2015.5503705737033"/>
            <w:gridCol w:w="3357.970903101839"/>
            <w:gridCol w:w="3357.970903101839"/>
          </w:tblGrid>
        </w:tblGridChange>
      </w:tblGrid>
      <w:tr>
        <w:trPr>
          <w:cantSplit w:val="0"/>
          <w:trHeight w:val="333" w:hRule="atLeast"/>
          <w:tblHeader w:val="0"/>
        </w:trPr>
        <w:tc>
          <w:tcPr>
            <w:shd w:fill="D9EAD3"/>
          </w:tcPr>
          <w:p w:rsidR="00000000" w:rsidDel="00000000" w:rsidP="00000000" w:rsidRDefault="00000000" w:rsidRPr="00000000" w14:paraId="0000000E">
            <w:pPr>
              <w:rPr>
                <w:b w:val="1"/>
                <w:bCs w:val="1"/>
              </w:rPr>
            </w:pPr>
            <w:r w:rsidDel="00000000" w:rsidR="00000000" w:rsidRPr="00000000">
              <w:rPr>
                <w:b w:val="1"/>
                <w:bCs w:val="1"/>
                <w:rtl w:val="0"/>
              </w:rPr>
              <w:t xml:space="preserve">FR No.</w:t>
            </w:r>
          </w:p>
        </w:tc>
        <w:tc>
          <w:tcPr>
            <w:shd w:fill="D9EAD3"/>
          </w:tcPr>
          <w:p w:rsidR="00000000" w:rsidDel="00000000" w:rsidP="00000000" w:rsidRDefault="00000000" w:rsidRPr="00000000" w14:paraId="0000000F">
            <w:pPr>
              <w:rPr>
                <w:b w:val="1"/>
                <w:bCs w:val="1"/>
              </w:rPr>
            </w:pPr>
            <w:r w:rsidDel="00000000" w:rsidR="00000000" w:rsidRPr="00000000">
              <w:rPr>
                <w:b w:val="1"/>
                <w:bCs w:val="1"/>
                <w:rtl w:val="0"/>
              </w:rPr>
              <w:t xml:space="preserve">Functional Requirement (Epic)</w:t>
            </w:r>
          </w:p>
        </w:tc>
        <w:tc>
          <w:tcPr>
            <w:shd w:fill="D9EAD3"/>
          </w:tcPr>
          <w:p w:rsidR="00000000" w:rsidDel="00000000" w:rsidP="00000000" w:rsidRDefault="00000000" w:rsidRPr="00000000" w14:paraId="00000010">
            <w:pPr>
              <w:rPr>
                <w:b w:val="1"/>
                <w:bCs w:val="1"/>
              </w:rPr>
            </w:pPr>
            <w:r w:rsidDel="00000000" w:rsidR="00000000" w:rsidRPr="00000000">
              <w:rPr>
                <w:b w:val="1"/>
                <w:bCs w:val="1"/>
                <w:rtl w:val="0"/>
              </w:rPr>
              <w:t xml:space="preserve">Sub Requirement (Story / Sub-Task)</w:t>
            </w:r>
          </w:p>
        </w:tc>
        <w:tc>
          <w:tcPr>
            <w:shd w:fill="D9EAD3"/>
          </w:tcPr>
          <w:p w:rsidR="00000000" w:rsidDel="00000000" w:rsidP="00000000" w:rsidRDefault="00000000" w:rsidRPr="00000000" w14:paraId="00000011">
            <w:pPr>
              <w:rPr>
                <w:b w:val="1"/>
                <w:bCs w:val="1"/>
              </w:rPr>
            </w:pPr>
            <w:r w:rsidDel="00000000" w:rsidR="00000000" w:rsidRPr="00000000">
              <w:rPr>
                <w:b w:val="1"/>
                <w:bCs w:val="1"/>
                <w:rtl w:val="0"/>
              </w:rPr>
              <w:t xml:space="preserve">Priority (High/Medium/Low)</w:t>
            </w:r>
          </w:p>
        </w:tc>
      </w:tr>
      <w:tr>
        <w:trPr>
          <w:cantSplit w:val="0"/>
          <w:trHeight w:val="489" w:hRule="atLeast"/>
          <w:tblHeader w:val="0"/>
        </w:trPr>
        <w:tc>
          <w:tcPr>
            <w:vAlign w:val="center"/>
          </w:tcPr>
          <w:p>
            <w:pPr>
              <w:spacing w:after="40" w:before="20"/>
            </w:pPr>
            <w:r/>
            <w:r>
              <w:rPr>
                <w:b w:val="0"/>
                <w:sz w:val="14"/>
              </w:rPr>
              <w:t>1</w:t>
            </w:r>
          </w:p>
        </w:tc>
        <w:tc>
          <w:tcPr>
            <w:vAlign w:val="center"/>
          </w:tcPr>
          <w:p>
            <w:pPr>
              <w:spacing w:after="40" w:before="20"/>
            </w:pPr>
            <w:r/>
            <w:r>
              <w:rPr>
                <w:b w:val="0"/>
                <w:sz w:val="14"/>
              </w:rPr>
              <w:t>Data Access &amp; Integration</w:t>
            </w:r>
          </w:p>
        </w:tc>
        <w:tc>
          <w:tcPr>
            <w:vAlign w:val="center"/>
          </w:tcPr>
          <w:p>
            <w:pPr>
              <w:spacing w:after="40" w:before="20"/>
            </w:pPr>
            <w:r/>
            <w:r>
              <w:rPr>
                <w:b w:val="0"/>
                <w:sz w:val="14"/>
              </w:rPr>
              <w:t>Load the supplied ev_market_test.csv file into Tableau Public using a file-based data connection. Use available vehicle, manufacturer, model year, battery, range, sales, manufacturing country and customer-rating fields. No external database or live API integration is part of the implemented solution.</w:t>
            </w:r>
          </w:p>
        </w:tc>
        <w:tc>
          <w:tcPr>
            <w:vAlign w:val="center"/>
          </w:tcPr>
          <w:p>
            <w:pPr>
              <w:spacing w:after="40" w:before="20"/>
            </w:pPr>
            <w:r/>
            <w:r>
              <w:rPr>
                <w:b w:val="0"/>
                <w:sz w:val="14"/>
              </w:rPr>
              <w:t>High</w:t>
            </w:r>
          </w:p>
        </w:tc>
      </w:tr>
      <w:tr>
        <w:trPr>
          <w:cantSplit w:val="0"/>
          <w:trHeight w:val="489" w:hRule="atLeast"/>
          <w:tblHeader w:val="0"/>
        </w:trPr>
        <w:tc>
          <w:tcPr>
            <w:vAlign w:val="center"/>
          </w:tcPr>
          <w:p>
            <w:pPr>
              <w:spacing w:after="40" w:before="20"/>
            </w:pPr>
            <w:r/>
            <w:r>
              <w:rPr>
                <w:b w:val="0"/>
                <w:sz w:val="14"/>
              </w:rPr>
              <w:t>2</w:t>
            </w:r>
          </w:p>
        </w:tc>
        <w:tc>
          <w:tcPr>
            <w:vAlign w:val="center"/>
          </w:tcPr>
          <w:p>
            <w:pPr>
              <w:spacing w:after="40" w:before="20"/>
            </w:pPr>
            <w:r/>
            <w:r>
              <w:rPr>
                <w:b w:val="0"/>
                <w:sz w:val="14"/>
              </w:rPr>
              <w:t>Data Processing</w:t>
            </w:r>
          </w:p>
        </w:tc>
        <w:tc>
          <w:tcPr>
            <w:vAlign w:val="center"/>
          </w:tcPr>
          <w:p>
            <w:pPr>
              <w:spacing w:after="40" w:before="20"/>
            </w:pPr>
            <w:r/>
            <w:r>
              <w:rPr>
                <w:b w:val="0"/>
                <w:sz w:val="14"/>
              </w:rPr>
              <w:t>Inspect field types and missing values; retain valid records; use appropriate aggregations and filters. Do not replace missing sales or ratings with zero. Use distinct vehicle counts where record counts are required and exclude null values from averages as Tableau does by default. Document that the supplied file is a test dataset.</w:t>
            </w:r>
          </w:p>
        </w:tc>
        <w:tc>
          <w:tcPr>
            <w:vAlign w:val="center"/>
          </w:tcPr>
          <w:p>
            <w:pPr>
              <w:spacing w:after="40" w:before="20"/>
            </w:pPr>
            <w:r/>
            <w:r>
              <w:rPr>
                <w:b w:val="0"/>
                <w:sz w:val="14"/>
              </w:rPr>
              <w:t>High</w:t>
            </w:r>
          </w:p>
        </w:tc>
      </w:tr>
      <w:tr>
        <w:trPr>
          <w:cantSplit w:val="0"/>
          <w:trHeight w:val="760.6640625" w:hRule="atLeast"/>
          <w:tblHeader w:val="0"/>
        </w:trPr>
        <w:tc>
          <w:tcPr>
            <w:vAlign w:val="center"/>
          </w:tcPr>
          <w:p>
            <w:pPr>
              <w:spacing w:after="40" w:before="20"/>
            </w:pPr>
            <w:r/>
            <w:r>
              <w:rPr>
                <w:b w:val="0"/>
                <w:sz w:val="14"/>
              </w:rPr>
              <w:t>3</w:t>
            </w:r>
          </w:p>
        </w:tc>
        <w:tc>
          <w:tcPr>
            <w:vAlign w:val="center"/>
          </w:tcPr>
          <w:p>
            <w:pPr>
              <w:spacing w:after="40" w:before="20"/>
            </w:pPr>
            <w:r/>
            <w:r>
              <w:rPr>
                <w:b w:val="0"/>
                <w:sz w:val="14"/>
              </w:rPr>
              <w:t>Business Analysis</w:t>
            </w:r>
          </w:p>
        </w:tc>
        <w:tc>
          <w:tcPr>
            <w:vAlign w:val="center"/>
          </w:tcPr>
          <w:p>
            <w:pPr>
              <w:spacing w:after="40" w:before="20"/>
            </w:pPr>
            <w:r/>
            <w:r>
              <w:rPr>
                <w:b w:val="0"/>
                <w:sz w:val="14"/>
              </w:rPr>
              <w:t>Calculate total recorded annual sales units by manufacturer/model year; distinct vehicle and manufacturer counts; average driving range; average customer rating; average battery capacity by battery type; and vehicle-record counts by battery technology and manufacturing country. Explore battery capacity versus driving range using a scatter plot.</w:t>
            </w:r>
          </w:p>
        </w:tc>
        <w:tc>
          <w:tcPr>
            <w:vAlign w:val="center"/>
          </w:tcPr>
          <w:p>
            <w:pPr>
              <w:spacing w:after="40" w:before="20"/>
            </w:pPr>
            <w:r/>
            <w:r>
              <w:rPr>
                <w:b w:val="0"/>
                <w:sz w:val="14"/>
              </w:rPr>
              <w:t>High</w:t>
            </w:r>
          </w:p>
        </w:tc>
      </w:tr>
      <w:tr>
        <w:trPr>
          <w:cantSplit w:val="0"/>
          <w:trHeight w:val="489" w:hRule="atLeast"/>
          <w:tblHeader w:val="0"/>
        </w:trPr>
        <w:tc>
          <w:tcPr>
            <w:vAlign w:val="center"/>
          </w:tcPr>
          <w:p>
            <w:pPr>
              <w:spacing w:after="40" w:before="20"/>
            </w:pPr>
            <w:r/>
            <w:r>
              <w:rPr>
                <w:b w:val="0"/>
                <w:sz w:val="14"/>
              </w:rPr>
              <w:t>4</w:t>
            </w:r>
          </w:p>
        </w:tc>
        <w:tc>
          <w:tcPr>
            <w:vAlign w:val="center"/>
          </w:tcPr>
          <w:p>
            <w:pPr>
              <w:spacing w:after="40" w:before="20"/>
            </w:pPr>
            <w:r/>
            <w:r>
              <w:rPr>
                <w:b w:val="0"/>
                <w:sz w:val="14"/>
              </w:rPr>
              <w:t>Business Insights &amp; Analytical Outputs</w:t>
            </w:r>
          </w:p>
        </w:tc>
        <w:tc>
          <w:tcPr>
            <w:vAlign w:val="center"/>
          </w:tcPr>
          <w:p>
            <w:pPr>
              <w:spacing w:after="40" w:before="20"/>
            </w:pPr>
            <w:r/>
            <w:r>
              <w:rPr>
                <w:b w:val="0"/>
                <w:sz w:val="14"/>
              </w:rPr>
              <w:t>Provide eight Tableau visualisations, an interactive dashboard and two Tableau stories: EV Market Performance and EV Technology and Customer Insights. Publish the dashboard and stories on Tableau Public and link them from the public project website.</w:t>
            </w:r>
          </w:p>
        </w:tc>
        <w:tc>
          <w:tcPr>
            <w:vAlign w:val="center"/>
          </w:tcPr>
          <w:p>
            <w:pPr>
              <w:spacing w:after="40" w:before="20"/>
            </w:pPr>
            <w:r/>
            <w:r>
              <w:rPr>
                <w:b w:val="0"/>
                <w:sz w:val="14"/>
              </w:rPr>
              <w:t>High</w:t>
            </w:r>
          </w:p>
        </w:tc>
      </w:tr>
      <w:tr>
        <w:trPr>
          <w:cantSplit w:val="0"/>
          <w:trHeight w:val="489" w:hRule="atLeast"/>
          <w:tblHeader w:val="0"/>
        </w:trPr>
        <w:tc>
          <w:tcPr>
            <w:vAlign w:val="center"/>
          </w:tcPr>
          <w:p>
            <w:pPr>
              <w:spacing w:after="40" w:before="20"/>
            </w:pPr>
            <w:r/>
            <w:r>
              <w:rPr>
                <w:b w:val="0"/>
                <w:sz w:val="14"/>
              </w:rPr>
              <w:t>5</w:t>
            </w:r>
          </w:p>
        </w:tc>
        <w:tc>
          <w:tcPr>
            <w:vAlign w:val="center"/>
          </w:tcPr>
          <w:p>
            <w:pPr>
              <w:spacing w:after="40" w:before="20"/>
            </w:pPr>
            <w:r/>
            <w:r>
              <w:rPr>
                <w:b w:val="0"/>
                <w:sz w:val="14"/>
              </w:rPr>
              <w:t>User Interaction &amp; Analysis</w:t>
            </w:r>
          </w:p>
        </w:tc>
        <w:tc>
          <w:tcPr>
            <w:vAlign w:val="center"/>
          </w:tcPr>
          <w:p>
            <w:pPr>
              <w:spacing w:after="40" w:before="20"/>
            </w:pPr>
            <w:r/>
            <w:r>
              <w:rPr>
                <w:b w:val="0"/>
                <w:sz w:val="14"/>
              </w:rPr>
              <w:t>Allow viewers to explore the dashboard using available filters such as manufacturer, model year, battery type, manufacturing country and vehicle category (where present). Enable comparison across manufacturers and technologies and provide direct links to the full Tableau views and stories.</w:t>
            </w:r>
          </w:p>
        </w:tc>
        <w:tc>
          <w:tcPr>
            <w:vAlign w:val="center"/>
          </w:tcPr>
          <w:p>
            <w:pPr>
              <w:spacing w:after="40" w:before="20"/>
            </w:pPr>
            <w:r/>
            <w:r>
              <w:rPr>
                <w:b w:val="0"/>
                <w:sz w:val="14"/>
              </w:rPr>
              <w:t>High</w:t>
            </w:r>
          </w:p>
        </w:tc>
      </w:tr>
      <w:tr>
        <w:trPr>
          <w:cantSplit w:val="0"/>
          <w:trHeight w:val="489" w:hRule="atLeast"/>
          <w:tblHeader w:val="0"/>
        </w:trPr>
        <w:tc>
          <w:tcPr>
            <w:vAlign w:val="center"/>
          </w:tcPr>
          <w:p>
            <w:pPr>
              <w:spacing w:after="40" w:before="20"/>
            </w:pPr>
            <w:r/>
            <w:r>
              <w:rPr>
                <w:b w:val="0"/>
                <w:sz w:val="14"/>
              </w:rPr>
              <w:t>6</w:t>
            </w:r>
          </w:p>
        </w:tc>
        <w:tc>
          <w:tcPr>
            <w:vAlign w:val="center"/>
          </w:tcPr>
          <w:p>
            <w:pPr>
              <w:spacing w:after="40" w:before="20"/>
            </w:pPr>
            <w:r/>
            <w:r>
              <w:rPr>
                <w:b w:val="0"/>
                <w:sz w:val="14"/>
              </w:rPr>
              <w:t>Data Update &amp; Reporting</w:t>
            </w:r>
          </w:p>
        </w:tc>
        <w:tc>
          <w:tcPr>
            <w:vAlign w:val="center"/>
          </w:tcPr>
          <w:p>
            <w:pPr>
              <w:spacing w:after="40" w:before="20"/>
            </w:pPr>
            <w:r/>
            <w:r>
              <w:rPr>
                <w:b w:val="0"/>
                <w:sz w:val="14"/>
              </w:rPr>
              <w:t>The current solution uses a supplied CSV snapshot and published Tableau views. Updated analysis requires replacing/refreshing the source file in the Tableau workbook and republishing the workbook. No automated scheduled ingestion or live reporting pipeline is implemented.</w:t>
            </w:r>
          </w:p>
        </w:tc>
        <w:tc>
          <w:tcPr>
            <w:vAlign w:val="center"/>
          </w:tcPr>
          <w:p>
            <w:pPr>
              <w:spacing w:after="40" w:before="20"/>
            </w:pPr>
            <w:r/>
            <w:r>
              <w:rPr>
                <w:b w:val="0"/>
                <w:sz w:val="14"/>
              </w:rPr>
              <w:t>Medium</w:t>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Rule="auto"/>
        <w:rPr>
          <w:b w:val="1"/>
          <w:bCs w:val="1"/>
        </w:rPr>
      </w:pPr>
      <w:r w:rsidDel="00000000" w:rsidR="00000000" w:rsidRPr="00000000">
        <w:rPr>
          <w:b w:val="1"/>
          <w:bCs w:val="1"/>
          <w:rtl w:val="0"/>
        </w:rPr>
        <w:t xml:space="preserve">Non-functional Requirements:</w:t>
      </w:r>
    </w:p>
    <w:p w:rsidR="00000000" w:rsidDel="00000000" w:rsidP="00000000" w:rsidRDefault="00000000" w:rsidRPr="00000000" w14:paraId="0000002C">
      <w:pPr>
        <w:spacing w:after="0" w:lineRule="auto"/>
        <w:rPr/>
      </w:pPr>
      <w:r w:rsidDel="00000000" w:rsidR="00000000" w:rsidRPr="00000000">
        <w:rPr>
          <w:rtl w:val="0"/>
        </w:rPr>
        <w:t xml:space="preserve">Following are the non-functional requirements of the proposed solution.</w:t>
      </w:r>
    </w:p>
    <w:tbl>
      <w:tblPr>
        <w:tblStyle w:val="Table3"/>
        <w:tblW w:w="93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6"/>
        <w:gridCol w:w="3464"/>
        <w:gridCol w:w="4934"/>
        <w:tblGridChange w:id="0">
          <w:tblGrid>
            <w:gridCol w:w="926"/>
            <w:gridCol w:w="3464"/>
            <w:gridCol w:w="4934"/>
          </w:tblGrid>
        </w:tblGridChange>
      </w:tblGrid>
      <w:tr>
        <w:trPr>
          <w:cantSplit w:val="0"/>
          <w:trHeight w:val="333" w:hRule="atLeast"/>
          <w:tblHeader w:val="0"/>
        </w:trPr>
        <w:tc>
          <w:tcPr>
            <w:shd w:fill="D9EAD3"/>
          </w:tcPr>
          <w:p w:rsidR="00000000" w:rsidDel="00000000" w:rsidP="00000000" w:rsidRDefault="00000000" w:rsidRPr="00000000" w14:paraId="0000002D">
            <w:pPr>
              <w:rPr>
                <w:b w:val="1"/>
                <w:bCs w:val="1"/>
              </w:rPr>
            </w:pPr>
            <w:r w:rsidDel="00000000" w:rsidR="00000000" w:rsidRPr="00000000">
              <w:rPr>
                <w:b w:val="1"/>
                <w:bCs w:val="1"/>
                <w:rtl w:val="0"/>
              </w:rPr>
              <w:t xml:space="preserve">FR No.</w:t>
            </w:r>
          </w:p>
        </w:tc>
        <w:tc>
          <w:tcPr>
            <w:shd w:fill="D9EAD3"/>
          </w:tcPr>
          <w:p w:rsidR="00000000" w:rsidDel="00000000" w:rsidP="00000000" w:rsidRDefault="00000000" w:rsidRPr="00000000" w14:paraId="0000002E">
            <w:pPr>
              <w:rPr>
                <w:b w:val="1"/>
                <w:bCs w:val="1"/>
              </w:rPr>
            </w:pPr>
            <w:r w:rsidDel="00000000" w:rsidR="00000000" w:rsidRPr="00000000">
              <w:rPr>
                <w:b w:val="1"/>
                <w:bCs w:val="1"/>
                <w:rtl w:val="0"/>
              </w:rPr>
              <w:t xml:space="preserve">Non-Functional Requirement</w:t>
            </w:r>
          </w:p>
        </w:tc>
        <w:tc>
          <w:tcPr>
            <w:shd w:fill="D9EAD3"/>
          </w:tcPr>
          <w:p w:rsidR="00000000" w:rsidDel="00000000" w:rsidP="00000000" w:rsidRDefault="00000000" w:rsidRPr="00000000" w14:paraId="0000002F">
            <w:pPr>
              <w:rPr>
                <w:b w:val="1"/>
                <w:bCs w:val="1"/>
              </w:rPr>
            </w:pPr>
            <w:r w:rsidDel="00000000" w:rsidR="00000000" w:rsidRPr="00000000">
              <w:rPr>
                <w:b w:val="1"/>
                <w:bCs w:val="1"/>
                <w:rtl w:val="0"/>
              </w:rPr>
              <w:t xml:space="preserve">Description</w:t>
            </w:r>
          </w:p>
        </w:tc>
      </w:tr>
      <w:tr>
        <w:trPr>
          <w:cantSplit w:val="0"/>
          <w:trHeight w:val="489" w:hRule="atLeast"/>
          <w:tblHeader w:val="0"/>
        </w:trPr>
        <w:tc>
          <w:tcPr>
            <w:vAlign w:val="center"/>
          </w:tcPr>
          <w:p>
            <w:pPr>
              <w:spacing w:after="40" w:before="20"/>
            </w:pPr>
            <w:r/>
            <w:r>
              <w:rPr>
                <w:b w:val="0"/>
                <w:sz w:val="16"/>
              </w:rPr>
              <w:t>NFR-1</w:t>
            </w:r>
          </w:p>
        </w:tc>
        <w:tc>
          <w:tcPr>
            <w:vAlign w:val="center"/>
          </w:tcPr>
          <w:p>
            <w:pPr>
              <w:spacing w:after="40" w:before="20"/>
            </w:pPr>
            <w:r/>
            <w:r>
              <w:rPr>
                <w:b w:val="0"/>
                <w:sz w:val="16"/>
              </w:rPr>
              <w:t>Usability</w:t>
            </w:r>
          </w:p>
        </w:tc>
        <w:tc>
          <w:tcPr>
            <w:vAlign w:val="center"/>
          </w:tcPr>
          <w:p>
            <w:pPr>
              <w:spacing w:after="40" w:before="20"/>
            </w:pPr>
            <w:r/>
            <w:r>
              <w:rPr>
                <w:b w:val="0"/>
                <w:sz w:val="16"/>
              </w:rPr>
              <w:t>Provide clear chart titles, readable labels, consistent units, simple navigation, interactive filters and direct links to the dashboard and stories. The website should be responsive for desktop and mobile; embedded Tableau sizing is also affected by the workbook layout.</w:t>
            </w:r>
          </w:p>
        </w:tc>
      </w:tr>
      <w:tr>
        <w:trPr>
          <w:cantSplit w:val="0"/>
          <w:trHeight w:val="489" w:hRule="atLeast"/>
          <w:tblHeader w:val="0"/>
        </w:trPr>
        <w:tc>
          <w:tcPr>
            <w:vAlign w:val="center"/>
          </w:tcPr>
          <w:p>
            <w:pPr>
              <w:spacing w:after="40" w:before="20"/>
            </w:pPr>
            <w:r/>
            <w:r>
              <w:rPr>
                <w:b w:val="0"/>
                <w:sz w:val="16"/>
              </w:rPr>
              <w:t>NFR-2</w:t>
            </w:r>
          </w:p>
        </w:tc>
        <w:tc>
          <w:tcPr>
            <w:vAlign w:val="center"/>
          </w:tcPr>
          <w:p>
            <w:pPr>
              <w:spacing w:after="40" w:before="20"/>
            </w:pPr>
            <w:r/>
            <w:r>
              <w:rPr>
                <w:b w:val="0"/>
                <w:sz w:val="16"/>
              </w:rPr>
              <w:t>Security</w:t>
            </w:r>
          </w:p>
        </w:tc>
        <w:tc>
          <w:tcPr>
            <w:vAlign w:val="center"/>
          </w:tcPr>
          <w:p>
            <w:pPr>
              <w:spacing w:after="40" w:before="20"/>
            </w:pPr>
            <w:r/>
            <w:r>
              <w:rPr>
                <w:b w:val="0"/>
                <w:sz w:val="16"/>
              </w:rPr>
              <w:t>Use publicly accessible Tableau Public and GitHub Pages content. Do not publish confidential, personal or restricted data. The project contains no user accounts, passwords or private database credentials.</w:t>
            </w:r>
          </w:p>
        </w:tc>
      </w:tr>
      <w:tr>
        <w:trPr>
          <w:cantSplit w:val="0"/>
          <w:trHeight w:val="470" w:hRule="atLeast"/>
          <w:tblHeader w:val="0"/>
        </w:trPr>
        <w:tc>
          <w:tcPr>
            <w:vAlign w:val="center"/>
          </w:tcPr>
          <w:p>
            <w:pPr>
              <w:spacing w:after="40" w:before="20"/>
            </w:pPr>
            <w:r/>
            <w:r>
              <w:rPr>
                <w:b w:val="0"/>
                <w:sz w:val="16"/>
              </w:rPr>
              <w:t>NFR-3</w:t>
            </w:r>
          </w:p>
        </w:tc>
        <w:tc>
          <w:tcPr>
            <w:vAlign w:val="center"/>
          </w:tcPr>
          <w:p>
            <w:pPr>
              <w:spacing w:after="40" w:before="20"/>
            </w:pPr>
            <w:r/>
            <w:r>
              <w:rPr>
                <w:b w:val="0"/>
                <w:sz w:val="16"/>
              </w:rPr>
              <w:t>Reliability</w:t>
            </w:r>
          </w:p>
        </w:tc>
        <w:tc>
          <w:tcPr>
            <w:vAlign w:val="center"/>
          </w:tcPr>
          <w:p>
            <w:pPr>
              <w:spacing w:after="40" w:before="20"/>
            </w:pPr>
            <w:r/>
            <w:r>
              <w:rPr>
                <w:b w:val="0"/>
                <w:sz w:val="16"/>
              </w:rPr>
              <w:t>Use the same documented CSV source and consistent Tableau aggregations across charts. Validate key totals and filters before publishing. Availability of embedded views depends on Tableau Public and internet connectivity.</w:t>
            </w:r>
          </w:p>
        </w:tc>
      </w:tr>
      <w:tr>
        <w:trPr>
          <w:cantSplit w:val="0"/>
          <w:trHeight w:val="489" w:hRule="atLeast"/>
          <w:tblHeader w:val="0"/>
        </w:trPr>
        <w:tc>
          <w:tcPr>
            <w:vAlign w:val="center"/>
          </w:tcPr>
          <w:p>
            <w:pPr>
              <w:spacing w:after="40" w:before="20"/>
            </w:pPr>
            <w:r/>
            <w:r>
              <w:rPr>
                <w:b w:val="0"/>
                <w:sz w:val="16"/>
              </w:rPr>
              <w:t>NFR-4</w:t>
            </w:r>
          </w:p>
        </w:tc>
        <w:tc>
          <w:tcPr>
            <w:vAlign w:val="center"/>
          </w:tcPr>
          <w:p>
            <w:pPr>
              <w:spacing w:after="40" w:before="20"/>
            </w:pPr>
            <w:r/>
            <w:r>
              <w:rPr>
                <w:b w:val="0"/>
                <w:sz w:val="16"/>
              </w:rPr>
              <w:t>Performance</w:t>
            </w:r>
          </w:p>
        </w:tc>
        <w:tc>
          <w:tcPr>
            <w:vAlign w:val="center"/>
          </w:tcPr>
          <w:p>
            <w:pPr>
              <w:spacing w:after="40" w:before="20"/>
            </w:pPr>
            <w:r/>
            <w:r>
              <w:rPr>
                <w:b w:val="0"/>
                <w:sz w:val="16"/>
              </w:rPr>
              <w:t>Keep charts focused, limit unnecessary marks and filters, and use Tableau's published views. Loading time depends on dataset size, browser, network and Tableau Public service.</w:t>
            </w:r>
          </w:p>
        </w:tc>
      </w:tr>
      <w:tr>
        <w:trPr>
          <w:cantSplit w:val="0"/>
          <w:trHeight w:val="489" w:hRule="atLeast"/>
          <w:tblHeader w:val="0"/>
        </w:trPr>
        <w:tc>
          <w:tcPr>
            <w:vAlign w:val="center"/>
          </w:tcPr>
          <w:p>
            <w:pPr>
              <w:spacing w:after="40" w:before="20"/>
            </w:pPr>
            <w:r/>
            <w:r>
              <w:rPr>
                <w:b w:val="0"/>
                <w:sz w:val="16"/>
              </w:rPr>
              <w:t>NFR-5</w:t>
            </w:r>
          </w:p>
        </w:tc>
        <w:tc>
          <w:tcPr>
            <w:vAlign w:val="center"/>
          </w:tcPr>
          <w:p>
            <w:pPr>
              <w:spacing w:after="40" w:before="20"/>
            </w:pPr>
            <w:r/>
            <w:r>
              <w:rPr>
                <w:b w:val="0"/>
                <w:sz w:val="16"/>
              </w:rPr>
              <w:t>Availability</w:t>
            </w:r>
          </w:p>
        </w:tc>
        <w:tc>
          <w:tcPr>
            <w:vAlign w:val="center"/>
          </w:tcPr>
          <w:p>
            <w:pPr>
              <w:spacing w:after="40" w:before="20"/>
            </w:pPr>
            <w:r/>
            <w:r>
              <w:rPr>
                <w:b w:val="0"/>
                <w:sz w:val="16"/>
              </w:rPr>
              <w:t>The website is hosted through GitHub Pages and visualisations/stories through Tableau Public. Access requires an internet connection and remains subject to those services' availability.</w:t>
            </w:r>
          </w:p>
        </w:tc>
      </w:tr>
      <w:tr>
        <w:trPr>
          <w:cantSplit w:val="0"/>
          <w:trHeight w:val="489" w:hRule="atLeast"/>
          <w:tblHeader w:val="0"/>
        </w:trPr>
        <w:tc>
          <w:tcPr>
            <w:vAlign w:val="center"/>
          </w:tcPr>
          <w:p>
            <w:pPr>
              <w:spacing w:after="40" w:before="20"/>
            </w:pPr>
            <w:r/>
            <w:r>
              <w:rPr>
                <w:b w:val="0"/>
                <w:sz w:val="16"/>
              </w:rPr>
              <w:t>NFR-6</w:t>
            </w:r>
          </w:p>
        </w:tc>
        <w:tc>
          <w:tcPr>
            <w:vAlign w:val="center"/>
          </w:tcPr>
          <w:p>
            <w:pPr>
              <w:spacing w:after="40" w:before="20"/>
            </w:pPr>
            <w:r/>
            <w:r>
              <w:rPr>
                <w:b w:val="0"/>
                <w:sz w:val="16"/>
              </w:rPr>
              <w:t>Scalability</w:t>
            </w:r>
          </w:p>
        </w:tc>
        <w:tc>
          <w:tcPr>
            <w:vAlign w:val="center"/>
          </w:tcPr>
          <w:p>
            <w:pPr>
              <w:spacing w:after="40" w:before="20"/>
            </w:pPr>
            <w:r/>
            <w:r>
              <w:rPr>
                <w:b w:val="0"/>
                <w:sz w:val="16"/>
              </w:rPr>
              <w:t>The current solution is designed for the supplied CSV and Tableau Public. Larger datasets or automated refresh requirements may require a database/warehouse and a more scalable BI deployment; these are future enhancements, not current implementations.</w:t>
            </w:r>
          </w:p>
        </w:tc>
      </w:tr>
    </w:tbl>
    <w:p w:rsidR="00000000" w:rsidDel="00000000" w:rsidP="00000000" w:rsidRDefault="00000000" w:rsidRPr="00000000" w14:paraId="00000042">
      <w:pPr>
        <w:rPr/>
      </w:pPr>
      <w:r w:rsidDel="00000000" w:rsidR="00000000" w:rsidRPr="00000000">
        <w:rPr>
          <w:rtl w:val="0"/>
        </w:rPr>
      </w:r>
    </w:p>
    <w:p>
      <w:pPr>
        <w:spacing w:before="160"/>
      </w:pPr>
      <w:r>
        <w:rPr>
          <w:b/>
        </w:rPr>
        <w:t xml:space="preserve">Implementation note: </w:t>
      </w:r>
      <w:r>
        <w:t>Requirements are documented against the implemented CSV + Tableau Public + GitHub Pages solution. They do not claim Snowflake, SQL pipelines, authentication, automated refresh, Flask or Streamlit functionality.</w:t>
      </w:r>
    </w:p>
    <w:sectPr>
      <w:headerReference r:id="rId7"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6534150</wp:posOffset>
          </wp:positionH>
          <wp:positionV relativeFrom="page">
            <wp:posOffset>173355</wp:posOffset>
          </wp:positionV>
          <wp:extent cx="864691" cy="39528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2"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iUUeL6gfR5/Qz0TjJIy8Jp2E9g==">CgMxLjA4AHIhMVlsN2l3RGk0cGpKNnI4VkhQaFBDTTI0OWcxT2pzMVRf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