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sz w:val="18"/>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18"/>
                <w:rtl w:val="0"/>
              </w:rPr>
              <w:t xml:space="preserve">2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Define Your Technology Stack:</w:t>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rtl w:val="0"/>
        </w:rPr>
        <w:t xml:space="preserve">Identify the technologies, platforms, databases, BI tools, and integrations that you will use to build your Business Intelligence solution. A well-chosen technology stack helps ensure that the solution is scalable, maintainable, secure, and suitable for data analysis and reporting requirements.</w:t>
      </w:r>
      <w:r w:rsidDel="00000000" w:rsidR="00000000" w:rsidRPr="00000000">
        <w:rPr>
          <w:rFonts w:ascii="Arial" w:cs="Arial" w:eastAsia="Arial" w:hAnsi="Arial"/>
          <w:b w:val="1"/>
          <w:bCs w:val="1"/>
          <w:rtl w:val="0"/>
        </w:rPr>
        <w:br w:type="textWrapping"/>
      </w:r>
    </w:p>
    <w:tbl>
      <w:tblPr>
        <w:tblStyle w:val="Table2"/>
        <w:tblW w:w="14546.79527559055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1214205367187"/>
        <w:gridCol w:w="3182.4825582516473"/>
        <w:gridCol w:w="4132.477351759602"/>
        <w:gridCol w:w="3289.356972521292"/>
        <w:gridCol w:w="3289.356972521292"/>
        <w:tblGridChange w:id="0">
          <w:tblGrid>
            <w:gridCol w:w="653.1214205367187"/>
            <w:gridCol w:w="3182.4825582516473"/>
            <w:gridCol w:w="4132.477351759602"/>
            <w:gridCol w:w="3289.356972521292"/>
            <w:gridCol w:w="3289.356972521292"/>
          </w:tblGrid>
        </w:tblGridChange>
      </w:tblGrid>
      <w:tr>
        <w:trPr>
          <w:cantSplit w:val="0"/>
          <w:trHeight w:val="398" w:hRule="atLeast"/>
          <w:tblHeader w:val="0"/>
        </w:trPr>
        <w:tc>
          <w:tcPr>
            <w:tcW w:type="dxa" w:w="605"/>
            <w:shd w:fill="244A7C"/>
          </w:tcPr>
          <w:p w:rsidR="00000000" w:rsidDel="00000000" w:rsidP="00000000" w:rsidRDefault="00000000" w:rsidRPr="00000000" w14:paraId="0000000F">
            <w:pPr>
              <w:tabs>
                <w:tab w:val="left" w:leader="none" w:pos="2320"/>
              </w:tabs>
              <w:rPr>
                <w:rFonts w:ascii="Arial" w:cs="Arial" w:eastAsia="Arial" w:hAnsi="Arial"/>
                <w:b w:val="1"/>
                <w:bCs w:val="1"/>
              </w:rPr>
            </w:pPr>
            <w:r w:rsidDel="00000000" w:rsidR="00000000" w:rsidRPr="00000000">
              <w:rPr>
                <w:rFonts w:ascii="Arial" w:cs="Arial" w:eastAsia="Arial" w:hAnsi="Arial"/>
                <w:b/>
                <w:bCs w:val="1"/>
                <w:color w:val="FFFFFF"/>
                <w:sz w:val="16"/>
                <w:rtl w:val="0"/>
              </w:rPr>
              <w:t xml:space="preserve">S.No</w:t>
            </w:r>
          </w:p>
        </w:tc>
        <w:tc>
          <w:tcPr>
            <w:tcW w:type="dxa" w:w="1944"/>
            <w:shd w:fill="244A7C"/>
          </w:tcPr>
          <w:p w:rsidR="00000000" w:rsidDel="00000000" w:rsidP="00000000" w:rsidRDefault="00000000" w:rsidRPr="00000000" w14:paraId="00000010">
            <w:pPr>
              <w:tabs>
                <w:tab w:val="left" w:leader="none" w:pos="2320"/>
              </w:tabs>
              <w:rPr>
                <w:rFonts w:ascii="Arial" w:cs="Arial" w:eastAsia="Arial" w:hAnsi="Arial"/>
                <w:b w:val="1"/>
                <w:bCs w:val="1"/>
              </w:rPr>
            </w:pPr>
            <w:r w:rsidDel="00000000" w:rsidR="00000000" w:rsidRPr="00000000">
              <w:rPr>
                <w:rFonts w:ascii="Arial" w:cs="Arial" w:eastAsia="Arial" w:hAnsi="Arial"/>
                <w:b/>
                <w:bCs w:val="1"/>
                <w:color w:val="FFFFFF"/>
                <w:sz w:val="16"/>
                <w:rtl w:val="0"/>
              </w:rPr>
              <w:t xml:space="preserve">Component</w:t>
            </w:r>
          </w:p>
        </w:tc>
        <w:tc>
          <w:tcPr>
            <w:tcW w:type="dxa" w:w="2952"/>
            <w:shd w:fill="244A7C"/>
          </w:tcPr>
          <w:p w:rsidR="00000000" w:rsidDel="00000000" w:rsidP="00000000" w:rsidRDefault="00000000" w:rsidRPr="00000000" w14:paraId="00000011">
            <w:pPr>
              <w:tabs>
                <w:tab w:val="left" w:leader="none" w:pos="2320"/>
              </w:tabs>
              <w:rPr>
                <w:rFonts w:ascii="Arial" w:cs="Arial" w:eastAsia="Arial" w:hAnsi="Arial"/>
                <w:b w:val="1"/>
                <w:bCs w:val="1"/>
              </w:rPr>
            </w:pPr>
            <w:r w:rsidDel="00000000" w:rsidR="00000000" w:rsidRPr="00000000">
              <w:rPr>
                <w:rFonts w:ascii="Arial" w:cs="Arial" w:eastAsia="Arial" w:hAnsi="Arial"/>
                <w:b/>
                <w:bCs w:val="1"/>
                <w:color w:val="FFFFFF"/>
                <w:sz w:val="16"/>
                <w:rtl w:val="0"/>
              </w:rPr>
              <w:t xml:space="preserve">Description</w:t>
            </w:r>
          </w:p>
        </w:tc>
        <w:tc>
          <w:tcPr>
            <w:tcW w:type="dxa" w:w="2880"/>
            <w:shd w:fill="244A7C"/>
          </w:tcPr>
          <w:p w:rsidR="00000000" w:rsidDel="00000000" w:rsidP="00000000" w:rsidRDefault="00000000" w:rsidRPr="00000000" w14:paraId="00000012">
            <w:pPr>
              <w:tabs>
                <w:tab w:val="left" w:leader="none" w:pos="2320"/>
              </w:tabs>
              <w:rPr>
                <w:rFonts w:ascii="Arial" w:cs="Arial" w:eastAsia="Arial" w:hAnsi="Arial"/>
                <w:b w:val="1"/>
                <w:bCs w:val="1"/>
              </w:rPr>
            </w:pPr>
            <w:r w:rsidDel="00000000" w:rsidR="00000000" w:rsidRPr="00000000">
              <w:rPr>
                <w:rFonts w:ascii="Arial" w:cs="Arial" w:eastAsia="Arial" w:hAnsi="Arial"/>
                <w:b/>
                <w:bCs w:val="1"/>
                <w:color w:val="FFFFFF"/>
                <w:sz w:val="16"/>
                <w:rtl w:val="0"/>
              </w:rPr>
              <w:t xml:space="preserve">Technology</w:t>
            </w:r>
          </w:p>
        </w:tc>
        <w:tc>
          <w:tcPr>
            <w:tcW w:type="dxa" w:w="4320"/>
            <w:shd w:fill="244A7C"/>
          </w:tcPr>
          <w:p w:rsidR="00000000" w:rsidDel="00000000" w:rsidP="00000000" w:rsidRDefault="00000000" w:rsidRPr="00000000" w14:paraId="00000013">
            <w:pPr>
              <w:tabs>
                <w:tab w:val="left" w:leader="none" w:pos="2320"/>
              </w:tabs>
              <w:jc w:val="center"/>
              <w:rPr>
                <w:rFonts w:ascii="Arial" w:cs="Arial" w:eastAsia="Arial" w:hAnsi="Arial"/>
                <w:b w:val="1"/>
                <w:bCs w:val="1"/>
              </w:rPr>
            </w:pPr>
            <w:r w:rsidDel="00000000" w:rsidR="00000000" w:rsidRPr="00000000">
              <w:rPr>
                <w:rFonts w:ascii="Arial" w:cs="Arial" w:eastAsia="Arial" w:hAnsi="Arial"/>
                <w:b/>
                <w:bCs w:val="1"/>
                <w:color w:val="FFFFFF"/>
                <w:sz w:val="16"/>
                <w:rtl w:val="0"/>
              </w:rPr>
              <w:t xml:space="preserve">Justification / Purpose</w:t>
            </w:r>
          </w:p>
        </w:tc>
      </w:tr>
      <w:tr>
        <w:trPr>
          <w:cantSplit w:val="0"/>
          <w:trHeight w:val="489" w:hRule="atLeast"/>
          <w:tblHeader w:val="0"/>
        </w:trPr>
        <w:tc>
          <w:tcPr>
            <w:tcW w:type="dxa" w:w="605"/>
            <w:vAlign w:val="center"/>
          </w:tcPr>
          <w:p>
            <w:pPr>
              <w:spacing w:after="40"/>
            </w:pPr>
            <w:r>
              <w:rPr>
                <w:sz w:val="15"/>
              </w:rPr>
              <w:t>1.</w:t>
            </w:r>
          </w:p>
        </w:tc>
        <w:tc>
          <w:tcPr>
            <w:tcW w:type="dxa" w:w="1944"/>
            <w:vAlign w:val="center"/>
          </w:tcPr>
          <w:p>
            <w:pPr>
              <w:spacing w:after="40"/>
            </w:pPr>
            <w:r>
              <w:rPr>
                <w:sz w:val="15"/>
              </w:rPr>
              <w:t>Programming / Query Language</w:t>
            </w:r>
          </w:p>
        </w:tc>
        <w:tc>
          <w:tcPr>
            <w:tcW w:type="dxa" w:w="2952"/>
            <w:vAlign w:val="center"/>
          </w:tcPr>
          <w:p>
            <w:pPr>
              <w:spacing w:after="40"/>
            </w:pPr>
            <w:r>
              <w:rPr>
                <w:sz w:val="15"/>
              </w:rPr>
              <w:t>Language and formulas used to prepare, aggregate, filter, and analyse the supplied EV data.</w:t>
            </w:r>
          </w:p>
        </w:tc>
        <w:tc>
          <w:tcPr>
            <w:tcW w:type="dxa" w:w="2880"/>
            <w:vAlign w:val="center"/>
          </w:tcPr>
          <w:p>
            <w:pPr>
              <w:spacing w:after="40"/>
            </w:pPr>
            <w:r>
              <w:rPr>
                <w:sz w:val="15"/>
              </w:rPr>
              <w:t>Tableau calculated fields and built-in aggregations; HTML and CSS for the project website.</w:t>
            </w:r>
          </w:p>
        </w:tc>
        <w:tc>
          <w:tcPr>
            <w:tcW w:type="dxa" w:w="4320"/>
            <w:vAlign w:val="center"/>
          </w:tcPr>
          <w:p>
            <w:pPr>
              <w:spacing w:after="40"/>
            </w:pPr>
            <w:r>
              <w:rPr>
                <w:sz w:val="15"/>
              </w:rPr>
              <w:t>Tableau calculations and aggregations support measures such as SUM(annual_sales_units), AVG(range_km), AVG(customer_rating), and COUNTD(vehicle_id). HTML/CSS provide the public project page. Python and SQL were not used in the delivered analysis.</w:t>
            </w:r>
          </w:p>
        </w:tc>
      </w:tr>
      <w:tr>
        <w:trPr>
          <w:cantSplit w:val="0"/>
          <w:trHeight w:val="489" w:hRule="atLeast"/>
          <w:tblHeader w:val="0"/>
        </w:trPr>
        <w:tc>
          <w:tcPr>
            <w:tcW w:type="dxa" w:w="605"/>
            <w:vAlign w:val="center"/>
          </w:tcPr>
          <w:p>
            <w:pPr>
              <w:spacing w:after="40"/>
            </w:pPr>
            <w:r>
              <w:rPr>
                <w:sz w:val="15"/>
              </w:rPr>
              <w:t>2.</w:t>
            </w:r>
          </w:p>
        </w:tc>
        <w:tc>
          <w:tcPr>
            <w:tcW w:type="dxa" w:w="1944"/>
            <w:vAlign w:val="center"/>
          </w:tcPr>
          <w:p>
            <w:pPr>
              <w:spacing w:after="40"/>
            </w:pPr>
            <w:r>
              <w:rPr>
                <w:sz w:val="15"/>
              </w:rPr>
              <w:t>Database / Data Warehouse</w:t>
            </w:r>
          </w:p>
        </w:tc>
        <w:tc>
          <w:tcPr>
            <w:tcW w:type="dxa" w:w="2952"/>
            <w:vAlign w:val="center"/>
          </w:tcPr>
          <w:p>
            <w:pPr>
              <w:spacing w:after="40"/>
            </w:pPr>
            <w:r>
              <w:rPr>
                <w:sz w:val="15"/>
              </w:rPr>
              <w:t>Structured source data used by the BI solution.</w:t>
            </w:r>
          </w:p>
        </w:tc>
        <w:tc>
          <w:tcPr>
            <w:tcW w:type="dxa" w:w="2880"/>
            <w:vAlign w:val="center"/>
          </w:tcPr>
          <w:p>
            <w:pPr>
              <w:spacing w:after="40"/>
            </w:pPr>
            <w:r>
              <w:rPr>
                <w:sz w:val="15"/>
              </w:rPr>
              <w:t>CSV file: ev_market_test.csv (connected directly to Tableau).</w:t>
            </w:r>
          </w:p>
        </w:tc>
        <w:tc>
          <w:tcPr>
            <w:tcW w:type="dxa" w:w="4320"/>
            <w:vAlign w:val="center"/>
          </w:tcPr>
          <w:p>
            <w:pPr>
              <w:spacing w:after="40"/>
            </w:pPr>
            <w:r>
              <w:rPr>
                <w:sz w:val="15"/>
              </w:rPr>
              <w:t>The supplied CSV is the project data source and contains the EV records and analysis fields. No separate database or Snowflake warehouse was implemented.</w:t>
            </w:r>
          </w:p>
        </w:tc>
      </w:tr>
      <w:tr>
        <w:trPr>
          <w:cantSplit w:val="0"/>
          <w:trHeight w:val="470" w:hRule="atLeast"/>
          <w:tblHeader w:val="0"/>
        </w:trPr>
        <w:tc>
          <w:tcPr>
            <w:tcW w:type="dxa" w:w="605"/>
            <w:vAlign w:val="center"/>
          </w:tcPr>
          <w:p>
            <w:pPr>
              <w:spacing w:after="40"/>
            </w:pPr>
            <w:r>
              <w:rPr>
                <w:sz w:val="15"/>
              </w:rPr>
              <w:t>3.</w:t>
            </w:r>
          </w:p>
        </w:tc>
        <w:tc>
          <w:tcPr>
            <w:tcW w:type="dxa" w:w="1944"/>
            <w:vAlign w:val="center"/>
          </w:tcPr>
          <w:p>
            <w:pPr>
              <w:spacing w:after="40"/>
            </w:pPr>
            <w:r>
              <w:rPr>
                <w:sz w:val="15"/>
              </w:rPr>
              <w:t>Data Ingestion</w:t>
            </w:r>
          </w:p>
        </w:tc>
        <w:tc>
          <w:tcPr>
            <w:tcW w:type="dxa" w:w="2952"/>
            <w:vAlign w:val="center"/>
          </w:tcPr>
          <w:p>
            <w:pPr>
              <w:spacing w:after="40"/>
            </w:pPr>
            <w:r>
              <w:rPr>
                <w:sz w:val="15"/>
              </w:rPr>
              <w:t>Loading the source data into the analytical environment.</w:t>
            </w:r>
          </w:p>
        </w:tc>
        <w:tc>
          <w:tcPr>
            <w:tcW w:type="dxa" w:w="2880"/>
            <w:vAlign w:val="center"/>
          </w:tcPr>
          <w:p>
            <w:pPr>
              <w:spacing w:after="40"/>
            </w:pPr>
            <w:r>
              <w:rPr>
                <w:sz w:val="15"/>
              </w:rPr>
              <w:t>Tableau data connection to the CSV file.</w:t>
            </w:r>
          </w:p>
        </w:tc>
        <w:tc>
          <w:tcPr>
            <w:tcW w:type="dxa" w:w="4320"/>
            <w:vAlign w:val="center"/>
          </w:tcPr>
          <w:p>
            <w:pPr>
              <w:spacing w:after="40"/>
            </w:pPr>
            <w:r>
              <w:rPr>
                <w:sz w:val="15"/>
              </w:rPr>
              <w:t>Tableau connects directly to the supplied CSV, allowing the workbook to use its fields for worksheets, dashboards, and stories. No external API, Snowflake stage, or COPY INTO process was used.</w:t>
            </w:r>
          </w:p>
        </w:tc>
      </w:tr>
      <w:tr>
        <w:trPr>
          <w:cantSplit w:val="0"/>
          <w:trHeight w:val="470" w:hRule="atLeast"/>
          <w:tblHeader w:val="0"/>
        </w:trPr>
        <w:tc>
          <w:tcPr>
            <w:tcW w:type="dxa" w:w="605"/>
            <w:vAlign w:val="center"/>
          </w:tcPr>
          <w:p>
            <w:pPr>
              <w:spacing w:after="40"/>
            </w:pPr>
            <w:r>
              <w:rPr>
                <w:sz w:val="15"/>
              </w:rPr>
              <w:t>4.</w:t>
            </w:r>
          </w:p>
        </w:tc>
        <w:tc>
          <w:tcPr>
            <w:tcW w:type="dxa" w:w="1944"/>
            <w:vAlign w:val="center"/>
          </w:tcPr>
          <w:p>
            <w:pPr>
              <w:spacing w:after="40"/>
            </w:pPr>
            <w:r>
              <w:rPr>
                <w:sz w:val="15"/>
              </w:rPr>
              <w:t>Data Transformation and Business Logic</w:t>
            </w:r>
          </w:p>
        </w:tc>
        <w:tc>
          <w:tcPr>
            <w:tcW w:type="dxa" w:w="2952"/>
            <w:vAlign w:val="center"/>
          </w:tcPr>
          <w:p>
            <w:pPr>
              <w:spacing w:after="40"/>
            </w:pPr>
            <w:r>
              <w:rPr>
                <w:sz w:val="15"/>
              </w:rPr>
              <w:t>Preparing fields, applying filters, aggregating measures, and defining analytical comparisons.</w:t>
            </w:r>
          </w:p>
        </w:tc>
        <w:tc>
          <w:tcPr>
            <w:tcW w:type="dxa" w:w="2880"/>
            <w:vAlign w:val="center"/>
          </w:tcPr>
          <w:p>
            <w:pPr>
              <w:spacing w:after="40"/>
            </w:pPr>
            <w:r>
              <w:rPr>
                <w:sz w:val="15"/>
              </w:rPr>
              <w:t>Tableau Desktop / Tableau Public data-source tools, filters, dimensions, measures, and calculated fields where required.</w:t>
            </w:r>
          </w:p>
        </w:tc>
        <w:tc>
          <w:tcPr>
            <w:tcW w:type="dxa" w:w="4320"/>
            <w:vAlign w:val="center"/>
          </w:tcPr>
          <w:p>
            <w:pPr>
              <w:spacing w:after="40"/>
            </w:pPr>
            <w:r>
              <w:rPr>
                <w:sz w:val="15"/>
              </w:rPr>
              <w:t>The analysis uses Tableau aggregations and filters to compare manufacturers, model years, battery types, countries, driving range, battery capacity, sales, and customer ratings. Missing values are not treated as zero. No Snowflake SQL or separate ETL pipeline was implemented.</w:t>
            </w:r>
          </w:p>
        </w:tc>
      </w:tr>
      <w:tr>
        <w:trPr>
          <w:cantSplit w:val="0"/>
          <w:trHeight w:val="489" w:hRule="atLeast"/>
          <w:tblHeader w:val="0"/>
        </w:trPr>
        <w:tc>
          <w:tcPr>
            <w:tcW w:type="dxa" w:w="605"/>
            <w:vAlign w:val="center"/>
          </w:tcPr>
          <w:p>
            <w:pPr>
              <w:spacing w:after="40"/>
            </w:pPr>
            <w:r>
              <w:rPr>
                <w:sz w:val="15"/>
              </w:rPr>
              <w:t>5.</w:t>
            </w:r>
          </w:p>
        </w:tc>
        <w:tc>
          <w:tcPr>
            <w:tcW w:type="dxa" w:w="1944"/>
            <w:vAlign w:val="center"/>
          </w:tcPr>
          <w:p>
            <w:pPr>
              <w:spacing w:after="40"/>
            </w:pPr>
            <w:r>
              <w:rPr>
                <w:sz w:val="15"/>
              </w:rPr>
              <w:t>Data Visualization / Analytics</w:t>
            </w:r>
          </w:p>
        </w:tc>
        <w:tc>
          <w:tcPr>
            <w:tcW w:type="dxa" w:w="2952"/>
            <w:vAlign w:val="center"/>
          </w:tcPr>
          <w:p>
            <w:pPr>
              <w:spacing w:after="40"/>
            </w:pPr>
            <w:r>
              <w:rPr>
                <w:sz w:val="15"/>
              </w:rPr>
              <w:t>Creating charts, KPIs, dashboards, and analytical stories.</w:t>
            </w:r>
          </w:p>
        </w:tc>
        <w:tc>
          <w:tcPr>
            <w:tcW w:type="dxa" w:w="2880"/>
            <w:vAlign w:val="center"/>
          </w:tcPr>
          <w:p>
            <w:pPr>
              <w:spacing w:after="40"/>
            </w:pPr>
            <w:r>
              <w:rPr>
                <w:sz w:val="15"/>
              </w:rPr>
              <w:t>Tableau Public workbook: eight visualisations, one dashboard, and two stories.</w:t>
            </w:r>
          </w:p>
        </w:tc>
        <w:tc>
          <w:tcPr>
            <w:tcW w:type="dxa" w:w="4320"/>
            <w:vAlign w:val="center"/>
          </w:tcPr>
          <w:p>
            <w:pPr>
              <w:spacing w:after="40"/>
            </w:pPr>
            <w:r>
              <w:rPr>
                <w:sz w:val="15"/>
              </w:rPr>
              <w:t>Tableau provides interactive charts and dashboard analysis, including manufacturer sales, battery technology distribution, driving range, capacity, manufacturing-country records, customer ratings, and model-year sales.</w:t>
            </w:r>
          </w:p>
        </w:tc>
      </w:tr>
      <w:tr>
        <w:trPr>
          <w:cantSplit w:val="0"/>
          <w:trHeight w:val="489" w:hRule="atLeast"/>
          <w:tblHeader w:val="0"/>
        </w:trPr>
        <w:tc>
          <w:tcPr>
            <w:tcW w:type="dxa" w:w="605"/>
            <w:vAlign w:val="center"/>
          </w:tcPr>
          <w:p>
            <w:pPr>
              <w:spacing w:after="40"/>
            </w:pPr>
            <w:r>
              <w:rPr>
                <w:sz w:val="15"/>
              </w:rPr>
              <w:t>6.</w:t>
            </w:r>
          </w:p>
        </w:tc>
        <w:tc>
          <w:tcPr>
            <w:tcW w:type="dxa" w:w="1944"/>
            <w:vAlign w:val="center"/>
          </w:tcPr>
          <w:p>
            <w:pPr>
              <w:spacing w:after="40"/>
            </w:pPr>
            <w:r>
              <w:rPr>
                <w:sz w:val="15"/>
              </w:rPr>
              <w:t>Front-End / User Interface</w:t>
            </w:r>
          </w:p>
        </w:tc>
        <w:tc>
          <w:tcPr>
            <w:tcW w:type="dxa" w:w="2952"/>
            <w:vAlign w:val="center"/>
          </w:tcPr>
          <w:p>
            <w:pPr>
              <w:spacing w:after="40"/>
            </w:pPr>
            <w:r>
              <w:rPr>
                <w:sz w:val="15"/>
              </w:rPr>
              <w:t>Public-facing page through which viewers access the project and embedded BI content.</w:t>
            </w:r>
          </w:p>
        </w:tc>
        <w:tc>
          <w:tcPr>
            <w:tcW w:type="dxa" w:w="2880"/>
            <w:vAlign w:val="center"/>
          </w:tcPr>
          <w:p>
            <w:pPr>
              <w:spacing w:after="40"/>
            </w:pPr>
            <w:r>
              <w:rPr>
                <w:sz w:val="15"/>
              </w:rPr>
              <w:t>HTML and CSS website hosted with GitHub Pages; embedded Tableau Public dashboard and links to both Tableau stories.</w:t>
            </w:r>
          </w:p>
        </w:tc>
        <w:tc>
          <w:tcPr>
            <w:tcW w:type="dxa" w:w="4320"/>
            <w:vAlign w:val="center"/>
          </w:tcPr>
          <w:p>
            <w:pPr>
              <w:spacing w:after="40"/>
            </w:pPr>
            <w:r>
              <w:rPr>
                <w:sz w:val="15"/>
              </w:rPr>
              <w:t>GitHub Pages hosts the project website. The embedded Tableau view and separate story links let visitors explore the published analysis without a separate Flask or Streamlit application.</w:t>
            </w:r>
          </w:p>
        </w:tc>
      </w:tr>
    </w:tbl>
    <w:p w:rsidR="00000000" w:rsidDel="00000000" w:rsidP="00000000" w:rsidRDefault="00000000" w:rsidRPr="00000000" w14:paraId="00000032">
      <w:pPr>
        <w:rPr>
          <w:rFonts w:ascii="Arial" w:cs="Arial" w:eastAsia="Arial" w:hAnsi="Arial"/>
          <w:b w:val="1"/>
          <w:bCs w:val="1"/>
        </w:rPr>
      </w:pPr>
      <w:r w:rsidDel="00000000" w:rsidR="00000000" w:rsidRPr="00000000">
        <w:rPr>
          <w:rtl w:val="0"/>
        </w:rPr>
      </w:r>
    </w:p>
    <w:sectPr>
      <w:headerReference r:id="rId7" w:type="default"/>
      <w:pgSz w:h="16838" w:w="11906" w:orient="landscape"/>
      <w:pgMar w:bottom="720" w:top="720" w:left="648" w:right="64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266700</wp:posOffset>
          </wp:positionH>
          <wp:positionV relativeFrom="page">
            <wp:posOffset>173355</wp:posOffset>
          </wp:positionV>
          <wp:extent cx="1376363" cy="589870"/>
          <wp:effectExtent b="0" l="0" r="0" t="0"/>
          <wp:wrapNone/>
          <wp:docPr id="14" name="image2.png"/>
          <a:graphic>
            <a:graphicData uri="http://schemas.openxmlformats.org/drawingml/2006/picture">
              <pic:pic>
                <pic:nvPicPr>
                  <pic:cNvPr id="0" name="image2.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9610725</wp:posOffset>
          </wp:positionH>
          <wp:positionV relativeFrom="page">
            <wp:posOffset>268605</wp:posOffset>
          </wp:positionV>
          <wp:extent cx="864691" cy="395288"/>
          <wp:effectExtent b="0" l="0" r="0" t="0"/>
          <wp:wrapNone/>
          <wp:docPr id="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tU59mAc+IpFY9U4b0RREEz9cw==">CgMxLjA4AHIhMWNUYXdXUEVnTzMtTS12VTNtZF82Wi1WRkdPbDFQdW9K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