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Pr>
          <w:sz w:val="18"/>
        </w:rPr>
        <w:t>Project Design Phase-I</w:t>
      </w:r>
    </w:p>
    <w:p w:rsidR="00000000" w:rsidDel="00000000" w:rsidP="00000000" w:rsidRDefault="00000000" w:rsidRPr="00000000" w14:paraId="00000002">
      <w:pPr>
        <w:spacing w:after="0" w:lineRule="auto"/>
        <w:jc w:val="center"/>
        <w:rPr>
          <w:b w:val="1"/>
          <w:bCs w:val="1"/>
          <w:sz w:val="24"/>
          <w:szCs w:val="24"/>
        </w:rPr>
      </w:pPr>
      <w:r>
        <w:rPr>
          <w:sz w:val="18"/>
        </w:rPr>
        <w:t>Solution Architecture – Electric Vehicle Market Performance &amp; Insights</w:t>
      </w:r>
    </w:p>
    <w:p w:rsidR="00000000" w:rsidDel="00000000" w:rsidP="00000000" w:rsidRDefault="00000000" w:rsidRPr="00000000" w14:paraId="00000003">
      <w:pPr>
        <w:spacing w:after="0" w:lineRule="auto"/>
        <w:jc w:val="center"/>
        <w:rPr>
          <w:b w:val="1"/>
          <w:bCs w:val="1"/>
        </w:rPr>
      </w:pPr>
      <w:r w:rsidDel="00000000" w:rsidR="00000000" w:rsidRPr="00000000">
        <w:rPr>
          <w:sz w:val="18"/>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sz w:val="16"/>
                <w:rtl w:val="0"/>
              </w:rPr>
              <w:t xml:space="preserve">Date</w:t>
            </w:r>
          </w:p>
        </w:tc>
        <w:tc>
          <w:tcPr/>
          <w:p>
            <w:r>
              <w:rPr>
                <w:sz w:val="16"/>
              </w:rPr>
              <w:t>26 October 2026</w:t>
            </w:r>
          </w:p>
        </w:tc>
      </w:tr>
      <w:tr>
        <w:trPr>
          <w:cantSplit w:val="0"/>
          <w:tblHeader w:val="0"/>
        </w:trPr>
        <w:tc>
          <w:tcPr/>
          <w:p w:rsidR="00000000" w:rsidDel="00000000" w:rsidP="00000000" w:rsidRDefault="00000000" w:rsidRPr="00000000" w14:paraId="00000006">
            <w:pPr>
              <w:rPr/>
            </w:pPr>
            <w:r w:rsidDel="00000000" w:rsidR="00000000" w:rsidRPr="00000000">
              <w:rPr>
                <w:sz w:val="16"/>
                <w:rtl w:val="0"/>
              </w:rPr>
              <w:t xml:space="preserve">Team ID</w:t>
            </w:r>
          </w:p>
        </w:tc>
        <w:tc>
          <w:tcPr/>
          <w:p>
            <w:r>
              <w:rPr>
                <w:sz w:val="16"/>
              </w:rPr>
            </w:r>
          </w:p>
        </w:tc>
      </w:tr>
      <w:tr>
        <w:trPr>
          <w:cantSplit w:val="0"/>
          <w:tblHeader w:val="0"/>
        </w:trPr>
        <w:tc>
          <w:tcPr/>
          <w:p w:rsidR="00000000" w:rsidDel="00000000" w:rsidP="00000000" w:rsidRDefault="00000000" w:rsidRPr="00000000" w14:paraId="00000008">
            <w:pPr>
              <w:rPr/>
            </w:pPr>
            <w:r w:rsidDel="00000000" w:rsidR="00000000" w:rsidRPr="00000000">
              <w:rPr>
                <w:sz w:val="16"/>
                <w:rtl w:val="0"/>
              </w:rPr>
              <w:t xml:space="preserve">Project Name</w:t>
            </w:r>
          </w:p>
        </w:tc>
        <w:tc>
          <w:tcPr/>
          <w:p>
            <w:r>
              <w:rPr>
                <w:sz w:val="16"/>
              </w:rPr>
              <w:t>Electric Vehicle Market Performance &amp; Insights</w:t>
            </w:r>
          </w:p>
        </w:tc>
      </w:tr>
      <w:tr>
        <w:trPr>
          <w:cantSplit w:val="0"/>
          <w:tblHeader w:val="0"/>
        </w:trPr>
        <w:tc>
          <w:tcPr/>
          <w:p w:rsidR="00000000" w:rsidDel="00000000" w:rsidP="00000000" w:rsidRDefault="00000000" w:rsidRPr="00000000" w14:paraId="0000000A">
            <w:pPr>
              <w:rPr/>
            </w:pPr>
            <w:r w:rsidDel="00000000" w:rsidR="00000000" w:rsidRPr="00000000">
              <w:rPr>
                <w:sz w:val="16"/>
                <w:rtl w:val="0"/>
              </w:rPr>
              <w:t xml:space="preserve">Maximum Marks</w:t>
            </w:r>
          </w:p>
        </w:tc>
        <w:tc>
          <w:tcPr/>
          <w:p>
            <w:r>
              <w:rPr>
                <w:sz w:val="16"/>
              </w:rPr>
              <w:t>4 Marks</w:t>
            </w:r>
          </w:p>
        </w:tc>
      </w:tr>
    </w:tbl>
    <w:p w:rsidR="00000000" w:rsidDel="00000000" w:rsidP="00000000" w:rsidRDefault="00000000" w:rsidRPr="00000000" w14:paraId="0000000C">
      <w:pPr>
        <w:rPr>
          <w:b w:val="1"/>
          <w:bCs w:val="1"/>
        </w:rPr>
      </w:pPr>
      <w:r w:rsidDel="00000000" w:rsidR="00000000" w:rsidRPr="00000000">
        <w:rPr>
          <w:sz w:val="18"/>
          <w:rtl w:val="0"/>
        </w:rPr>
      </w:r>
    </w:p>
    <w:p w:rsidR="00000000" w:rsidDel="00000000" w:rsidP="00000000" w:rsidRDefault="00000000" w:rsidRPr="00000000" w14:paraId="0000000D">
      <w:pPr>
        <w:rPr>
          <w:rFonts w:ascii="Arial" w:cs="Arial" w:eastAsia="Arial" w:hAnsi="Arial"/>
          <w:b w:val="1"/>
          <w:bCs w:val="1"/>
          <w:color w:val="000000"/>
          <w:sz w:val="24"/>
          <w:szCs w:val="24"/>
        </w:rPr>
      </w:pPr>
      <w:r>
        <w:rPr>
          <w:sz w:val="18"/>
        </w:rPr>
        <w:t>Solution Architecture:</w:t>
      </w:r>
    </w:p>
    <w:p w:rsidR="00000000" w:rsidDel="00000000" w:rsidP="00000000" w:rsidRDefault="00000000" w:rsidRPr="00000000" w14:paraId="0000000E">
      <w:pPr>
        <w:shd w:fill="ffffff" w:val="clear"/>
        <w:spacing w:after="375" w:line="240" w:lineRule="auto"/>
        <w:rPr>
          <w:rFonts w:ascii="Arial" w:cs="Arial" w:eastAsia="Arial" w:hAnsi="Arial"/>
          <w:color w:val="000000"/>
          <w:sz w:val="24"/>
          <w:szCs w:val="24"/>
        </w:rPr>
      </w:pPr>
      <w:r>
        <w:rPr>
          <w:sz w:val="18"/>
        </w:rPr>
        <w:t>Solution architecture for this project describes how the supplied electric-vehicle dataset is connected, reviewed, analysed and presented to users through Tableau Public and a public project website. The design is intentionally based on the tools actually used: a CSV dataset, Tableau Public and GitHub Pages.</w:t>
      </w:r>
    </w:p>
    <w:p w:rsidR="00000000" w:rsidDel="00000000" w:rsidP="00000000" w:rsidRDefault="00000000" w:rsidRPr="00000000" w14:paraId="0000000F">
      <w:pPr>
        <w:numPr>
          <w:ilvl w:val="0"/>
          <w:numId w:val="1"/>
        </w:numPr>
        <w:shd w:fill="ffffff" w:val="clear"/>
        <w:spacing w:after="150" w:before="280" w:line="240" w:lineRule="auto"/>
        <w:ind w:left="720" w:hanging="360"/>
        <w:rPr>
          <w:color w:val="000000"/>
        </w:rPr>
      </w:pPr>
      <w:r>
        <w:rPr>
          <w:sz w:val="18"/>
        </w:rPr>
        <w:t>Identify a practical analytics solution for exploring EV market-performance and technology patterns in the supplied dataset.</w:t>
      </w:r>
    </w:p>
    <w:p w:rsidR="00000000" w:rsidDel="00000000" w:rsidP="00000000" w:rsidRDefault="00000000" w:rsidRPr="00000000" w14:paraId="00000010">
      <w:pPr>
        <w:numPr>
          <w:ilvl w:val="0"/>
          <w:numId w:val="1"/>
        </w:numPr>
        <w:shd w:fill="ffffff" w:val="clear"/>
        <w:spacing w:after="150" w:before="0" w:line="240" w:lineRule="auto"/>
        <w:ind w:left="720" w:hanging="360"/>
        <w:rPr>
          <w:color w:val="000000"/>
        </w:rPr>
      </w:pPr>
      <w:r>
        <w:rPr>
          <w:sz w:val="18"/>
        </w:rPr>
        <w:t>Describe the data flow, Tableau analysis layer, published dashboard, two stories and website for project stakeholders.</w:t>
      </w:r>
    </w:p>
    <w:p w:rsidR="00000000" w:rsidDel="00000000" w:rsidP="00000000" w:rsidRDefault="00000000" w:rsidRPr="00000000" w14:paraId="00000011">
      <w:pPr>
        <w:numPr>
          <w:ilvl w:val="0"/>
          <w:numId w:val="1"/>
        </w:numPr>
        <w:shd w:fill="ffffff" w:val="clear"/>
        <w:spacing w:after="150" w:before="0" w:line="240" w:lineRule="auto"/>
        <w:ind w:left="720" w:hanging="360"/>
        <w:rPr>
          <w:color w:val="000000"/>
        </w:rPr>
      </w:pPr>
      <w:r>
        <w:rPr>
          <w:sz w:val="18"/>
        </w:rPr>
        <w:t>Define the components, responsibilities, data limitations and delivery outputs without claiming unused Snowflake or SQL infrastructure.</w:t>
      </w:r>
    </w:p>
    <w:p w:rsidR="00000000" w:rsidDel="00000000" w:rsidP="00000000" w:rsidRDefault="00000000" w:rsidRPr="00000000" w14:paraId="00000012">
      <w:pPr>
        <w:numPr>
          <w:ilvl w:val="0"/>
          <w:numId w:val="1"/>
        </w:numPr>
        <w:shd w:fill="ffffff" w:val="clear"/>
        <w:spacing w:after="150" w:before="0" w:line="240" w:lineRule="auto"/>
        <w:ind w:left="720" w:hanging="360"/>
        <w:rPr>
          <w:color w:val="000000"/>
        </w:rPr>
      </w:pPr>
      <w:r>
        <w:rPr>
          <w:sz w:val="18"/>
        </w:rPr>
        <w:t>Provide a clear structure for building, validating, publishing and maintaining the EV analytics solution.</w:t>
      </w:r>
    </w:p>
    <w:p w:rsidR="00000000" w:rsidDel="00000000" w:rsidP="00000000" w:rsidRDefault="00000000" w:rsidRPr="00000000" w14:paraId="00000013">
      <w:pPr>
        <w:rPr>
          <w:b w:val="1"/>
          <w:bCs w:val="1"/>
        </w:rPr>
      </w:pPr>
      <w:r w:rsidDel="00000000" w:rsidR="00000000" w:rsidRPr="00000000">
        <w:rPr>
          <w:sz w:val="18"/>
          <w:rtl w:val="0"/>
        </w:rPr>
      </w:r>
    </w:p>
    <w:p w:rsidR="00000000" w:rsidDel="00000000" w:rsidP="00000000" w:rsidRDefault="00000000" w:rsidRPr="00000000" w14:paraId="00000014">
      <w:pPr>
        <w:rPr>
          <w:b w:val="1"/>
          <w:bCs w:val="1"/>
        </w:rPr>
      </w:pPr>
      <w:r>
        <w:rPr>
          <w:sz w:val="18"/>
        </w:rPr>
        <w:t>Project-Specific Solution Architecture Diagram:</w:t>
      </w:r>
    </w:p>
    <w:p w:rsidR="00000000" w:rsidDel="00000000" w:rsidP="00000000" w:rsidRDefault="00000000" w:rsidRPr="00000000" w14:paraId="00000015">
      <w:pPr>
        <w:tabs>
          <w:tab w:val="left" w:leader="none" w:pos="5529"/>
        </w:tabs>
        <w:ind w:left="2160" w:firstLine="0"/>
        <w:rPr>
          <w:b w:val="1"/>
          <w:bCs w:val="1"/>
        </w:rPr>
      </w:pPr>
      <w:r w:rsidDel="00000000" w:rsidR="00000000" w:rsidRPr="00000000">
        <w:rPr>
          <w:sz w:val="18"/>
        </w:rPr>
        <w:drawing>
          <wp:inline distB="114300" distT="114300" distL="114300" distR="114300">
            <wp:extent cx="2914650" cy="4065101"/>
            <wp:effectExtent b="0" l="0" r="0" t="0"/>
            <wp:docPr id="3" name="image3.png"/>
            <a:graphic>
              <a:graphicData uri="http://schemas.openxmlformats.org/drawingml/2006/picture">
                <pic:pic>
                  <pic:nvPicPr>
                    <pic:cNvPr id="0" name="image3.png"/>
                    <pic:cNvPicPr preferRelativeResize="0"/>
                  </pic:nvPicPr>
                  <pic:blipFill>
                    <a:blip r:embed="rId9"/>
                    <a:srcRect b="0" l="0" r="0" t="7066"/>
                    <a:stretch>
                      <a:fillRect/>
                    </a:stretch>
                  </pic:blipFill>
                  <pic:spPr>
                    <a:xfrm>
                      <a:off x="0" y="0"/>
                      <a:ext cx="2914650" cy="4065101"/>
                    </a:xfrm>
                    <a:prstGeom prst="rect"/>
                    <a:ln/>
                  </pic:spPr>
                </pic:pic>
              </a:graphicData>
            </a:graphic>
          </wp:inline>
        </w:drawing>
      </w:r>
      <w:r w:rsidDel="00000000" w:rsidR="00000000" w:rsidRPr="00000000">
        <w:rPr>
          <w:sz w:val="18"/>
          <w:rtl w:val="0"/>
        </w:rPr>
      </w:r>
    </w:p>
    <w:p w:rsidR="00000000" w:rsidDel="00000000" w:rsidP="00000000" w:rsidRDefault="00000000" w:rsidRPr="00000000" w14:paraId="00000016">
      <w:pPr>
        <w:rPr>
          <w:b w:val="1"/>
          <w:bCs w:val="1"/>
        </w:rPr>
      </w:pPr>
      <w:r w:rsidDel="00000000" w:rsidR="00000000" w:rsidRPr="00000000">
        <w:rPr>
          <w:sz w:val="18"/>
          <w:rtl w:val="0"/>
        </w:rPr>
      </w:r>
    </w:p>
    <w:p w:rsidR="00000000" w:rsidDel="00000000" w:rsidP="00000000" w:rsidRDefault="00000000" w:rsidRPr="00000000" w14:paraId="00000017">
      <w:pPr>
        <w:rPr>
          <w:b w:val="1"/>
          <w:bCs w:val="1"/>
        </w:rPr>
      </w:pPr>
      <w:r w:rsidDel="00000000" w:rsidR="00000000" w:rsidRPr="00000000">
        <w:rPr>
          <w:sz w:val="18"/>
          <w:rtl w:val="0"/>
        </w:rPr>
      </w:r>
    </w:p>
    <w:p w:rsidR="00000000" w:rsidDel="00000000" w:rsidP="00000000" w:rsidRDefault="00000000" w:rsidRPr="00000000" w14:paraId="00000018">
      <w:pPr>
        <w:rPr>
          <w:b w:val="1"/>
          <w:bCs w:val="1"/>
        </w:rPr>
      </w:pPr>
      <w:r>
        <w:rPr>
          <w:sz w:val="18"/>
        </w:rPr>
        <w:t>Component Description Table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rPr>
                <w:sz w:val="16"/>
              </w:rPr>
              <w:t>Component</w:t>
            </w:r>
          </w:p>
        </w:tc>
        <w:tc>
          <w:tcPr>
            <w:tcW w:type="dxa" w:w="3009"/>
          </w:tcPr>
          <w:p>
            <w:r>
              <w:rPr>
                <w:sz w:val="16"/>
              </w:rPr>
              <w:t>Technology / Tool</w:t>
            </w:r>
          </w:p>
        </w:tc>
        <w:tc>
          <w:tcPr>
            <w:tcW w:type="dxa" w:w="3009"/>
          </w:tcPr>
          <w:p>
            <w:r>
              <w:rPr>
                <w:sz w:val="16"/>
              </w:rPr>
              <w:t>Description / Responsibility</w:t>
            </w:r>
          </w:p>
        </w:tc>
      </w:tr>
      <w:tr>
        <w:tc>
          <w:tcPr>
            <w:tcW w:type="dxa" w:w="3009"/>
            <w:vAlign w:val="center"/>
          </w:tcPr>
          <w:p>
            <w:r>
              <w:rPr>
                <w:sz w:val="16"/>
              </w:rPr>
              <w:t>Data source</w:t>
            </w:r>
          </w:p>
        </w:tc>
        <w:tc>
          <w:tcPr>
            <w:tcW w:type="dxa" w:w="3009"/>
            <w:vAlign w:val="center"/>
          </w:tcPr>
          <w:p>
            <w:r>
              <w:rPr>
                <w:sz w:val="16"/>
              </w:rPr>
              <w:t>ev_market_test.csv</w:t>
            </w:r>
          </w:p>
        </w:tc>
        <w:tc>
          <w:tcPr>
            <w:tcW w:type="dxa" w:w="3009"/>
            <w:vAlign w:val="center"/>
          </w:tcPr>
          <w:p>
            <w:r>
              <w:rPr>
                <w:sz w:val="16"/>
              </w:rPr>
              <w:t>Supplied test dataset used for all analysis; 34,259 rows and 37 columns as previously profiled.</w:t>
            </w:r>
          </w:p>
        </w:tc>
      </w:tr>
      <w:tr>
        <w:tc>
          <w:tcPr>
            <w:tcW w:type="dxa" w:w="3009"/>
            <w:vAlign w:val="center"/>
          </w:tcPr>
          <w:p>
            <w:r>
              <w:rPr>
                <w:sz w:val="16"/>
              </w:rPr>
              <w:t>Data connection</w:t>
            </w:r>
          </w:p>
        </w:tc>
        <w:tc>
          <w:tcPr>
            <w:tcW w:type="dxa" w:w="3009"/>
            <w:vAlign w:val="center"/>
          </w:tcPr>
          <w:p>
            <w:r>
              <w:rPr>
                <w:sz w:val="16"/>
              </w:rPr>
              <w:t>Tableau Public – CSV connection</w:t>
            </w:r>
          </w:p>
        </w:tc>
        <w:tc>
          <w:tcPr>
            <w:tcW w:type="dxa" w:w="3009"/>
            <w:vAlign w:val="center"/>
          </w:tcPr>
          <w:p>
            <w:r>
              <w:rPr>
                <w:sz w:val="16"/>
              </w:rPr>
              <w:t>Connects the CSV directly to Tableau for exploration and visualisation.</w:t>
            </w:r>
          </w:p>
        </w:tc>
      </w:tr>
      <w:tr>
        <w:tc>
          <w:tcPr>
            <w:tcW w:type="dxa" w:w="3009"/>
            <w:vAlign w:val="center"/>
          </w:tcPr>
          <w:p>
            <w:r>
              <w:rPr>
                <w:sz w:val="16"/>
              </w:rPr>
              <w:t>Data quality review</w:t>
            </w:r>
          </w:p>
        </w:tc>
        <w:tc>
          <w:tcPr>
            <w:tcW w:type="dxa" w:w="3009"/>
            <w:vAlign w:val="center"/>
          </w:tcPr>
          <w:p>
            <w:r>
              <w:rPr>
                <w:sz w:val="16"/>
              </w:rPr>
              <w:t>Tableau data source / profiling</w:t>
            </w:r>
          </w:p>
        </w:tc>
        <w:tc>
          <w:tcPr>
            <w:tcW w:type="dxa" w:w="3009"/>
            <w:vAlign w:val="center"/>
          </w:tcPr>
          <w:p>
            <w:r>
              <w:rPr>
                <w:sz w:val="16"/>
              </w:rPr>
              <w:t>Review missing values and duplicates; preserve unknown values rather than treating them as zero.</w:t>
            </w:r>
          </w:p>
        </w:tc>
      </w:tr>
      <w:tr>
        <w:tc>
          <w:tcPr>
            <w:tcW w:type="dxa" w:w="3009"/>
            <w:vAlign w:val="center"/>
          </w:tcPr>
          <w:p>
            <w:r>
              <w:rPr>
                <w:sz w:val="16"/>
              </w:rPr>
              <w:t>Analysis layer</w:t>
            </w:r>
          </w:p>
        </w:tc>
        <w:tc>
          <w:tcPr>
            <w:tcW w:type="dxa" w:w="3009"/>
            <w:vAlign w:val="center"/>
          </w:tcPr>
          <w:p>
            <w:r>
              <w:rPr>
                <w:sz w:val="16"/>
              </w:rPr>
              <w:t>Tableau dimensions and measures</w:t>
            </w:r>
          </w:p>
        </w:tc>
        <w:tc>
          <w:tcPr>
            <w:tcW w:type="dxa" w:w="3009"/>
            <w:vAlign w:val="center"/>
          </w:tcPr>
          <w:p>
            <w:r>
              <w:rPr>
                <w:sz w:val="16"/>
              </w:rPr>
              <w:t>Uses manufacturer, battery_type, manufacturing_country and model_year with sales, range, capacity and rating measures.</w:t>
            </w:r>
          </w:p>
        </w:tc>
      </w:tr>
      <w:tr>
        <w:tc>
          <w:tcPr>
            <w:tcW w:type="dxa" w:w="3009"/>
            <w:vAlign w:val="center"/>
          </w:tcPr>
          <w:p>
            <w:r>
              <w:rPr>
                <w:sz w:val="16"/>
              </w:rPr>
              <w:t>Visualisation layer</w:t>
            </w:r>
          </w:p>
        </w:tc>
        <w:tc>
          <w:tcPr>
            <w:tcW w:type="dxa" w:w="3009"/>
            <w:vAlign w:val="center"/>
          </w:tcPr>
          <w:p>
            <w:r>
              <w:rPr>
                <w:sz w:val="16"/>
              </w:rPr>
              <w:t>8 Tableau charts</w:t>
            </w:r>
          </w:p>
        </w:tc>
        <w:tc>
          <w:tcPr>
            <w:tcW w:type="dxa" w:w="3009"/>
            <w:vAlign w:val="center"/>
          </w:tcPr>
          <w:p>
            <w:r>
              <w:rPr>
                <w:sz w:val="16"/>
              </w:rPr>
              <w:t>Covers manufacturer sales, battery technology distribution, driving range, capacity-range relationship, country records, customer ratings, battery capacity by type and model-year sales.</w:t>
            </w:r>
          </w:p>
        </w:tc>
      </w:tr>
      <w:tr>
        <w:tc>
          <w:tcPr>
            <w:tcW w:type="dxa" w:w="3009"/>
            <w:vAlign w:val="center"/>
          </w:tcPr>
          <w:p>
            <w:r>
              <w:rPr>
                <w:sz w:val="16"/>
              </w:rPr>
              <w:t>Dashboard</w:t>
            </w:r>
          </w:p>
        </w:tc>
        <w:tc>
          <w:tcPr>
            <w:tcW w:type="dxa" w:w="3009"/>
            <w:vAlign w:val="center"/>
          </w:tcPr>
          <w:p>
            <w:r>
              <w:rPr>
                <w:sz w:val="16"/>
              </w:rPr>
              <w:t>Tableau Public</w:t>
            </w:r>
          </w:p>
        </w:tc>
        <w:tc>
          <w:tcPr>
            <w:tcW w:type="dxa" w:w="3009"/>
            <w:vAlign w:val="center"/>
          </w:tcPr>
          <w:p>
            <w:r>
              <w:rPr>
                <w:sz w:val="16"/>
              </w:rPr>
              <w:t>Combines the visualisations into one interactive dashboard with available filters.</w:t>
            </w:r>
          </w:p>
        </w:tc>
      </w:tr>
      <w:tr>
        <w:tc>
          <w:tcPr>
            <w:tcW w:type="dxa" w:w="3009"/>
            <w:vAlign w:val="center"/>
          </w:tcPr>
          <w:p>
            <w:r>
              <w:rPr>
                <w:sz w:val="16"/>
              </w:rPr>
              <w:t>Storytelling</w:t>
            </w:r>
          </w:p>
        </w:tc>
        <w:tc>
          <w:tcPr>
            <w:tcW w:type="dxa" w:w="3009"/>
            <w:vAlign w:val="center"/>
          </w:tcPr>
          <w:p>
            <w:r>
              <w:rPr>
                <w:sz w:val="16"/>
              </w:rPr>
              <w:t>2 Tableau Public stories</w:t>
            </w:r>
          </w:p>
        </w:tc>
        <w:tc>
          <w:tcPr>
            <w:tcW w:type="dxa" w:w="3009"/>
            <w:vAlign w:val="center"/>
          </w:tcPr>
          <w:p>
            <w:r>
              <w:rPr>
                <w:sz w:val="16"/>
              </w:rPr>
              <w:t>Story 1: EV Market Performance Overview. Story 2: EV Technology and Customer Insights.</w:t>
            </w:r>
          </w:p>
        </w:tc>
      </w:tr>
      <w:tr>
        <w:tc>
          <w:tcPr>
            <w:tcW w:type="dxa" w:w="3009"/>
            <w:vAlign w:val="center"/>
          </w:tcPr>
          <w:p>
            <w:r>
              <w:rPr>
                <w:sz w:val="16"/>
              </w:rPr>
              <w:t>Public website</w:t>
            </w:r>
          </w:p>
        </w:tc>
        <w:tc>
          <w:tcPr>
            <w:tcW w:type="dxa" w:w="3009"/>
            <w:vAlign w:val="center"/>
          </w:tcPr>
          <w:p>
            <w:r>
              <w:rPr>
                <w:sz w:val="16"/>
              </w:rPr>
              <w:t>GitHub Pages</w:t>
            </w:r>
          </w:p>
        </w:tc>
        <w:tc>
          <w:tcPr>
            <w:tcW w:type="dxa" w:w="3009"/>
            <w:vAlign w:val="center"/>
          </w:tcPr>
          <w:p>
            <w:r>
              <w:rPr>
                <w:sz w:val="16"/>
              </w:rPr>
              <w:t>Presents project overview, embedded dashboard, story links and methodology.</w:t>
            </w:r>
          </w:p>
        </w:tc>
      </w:tr>
      <w:tr>
        <w:tc>
          <w:tcPr>
            <w:tcW w:type="dxa" w:w="3009"/>
            <w:vAlign w:val="center"/>
          </w:tcPr>
          <w:p>
            <w:r>
              <w:rPr>
                <w:sz w:val="16"/>
              </w:rPr>
              <w:t>Users</w:t>
            </w:r>
          </w:p>
        </w:tc>
        <w:tc>
          <w:tcPr>
            <w:tcW w:type="dxa" w:w="3009"/>
            <w:vAlign w:val="center"/>
          </w:tcPr>
          <w:p>
            <w:r>
              <w:rPr>
                <w:sz w:val="16"/>
              </w:rPr>
              <w:t>Project stakeholders</w:t>
            </w:r>
          </w:p>
        </w:tc>
        <w:tc>
          <w:tcPr>
            <w:tcW w:type="dxa" w:w="3009"/>
            <w:vAlign w:val="center"/>
          </w:tcPr>
          <w:p>
            <w:r>
              <w:rPr>
                <w:sz w:val="16"/>
              </w:rPr>
              <w:t>Market strategy, business intelligence and sustainable mobility research audiences.</w:t>
            </w:r>
          </w:p>
        </w:tc>
      </w:tr>
    </w:tbl>
    <w:sdt>
      <w:sdtPr>
        <w:lock w:val="contentLocked"/>
        <w:id w:val="-439335461"/>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3990"/>
            <w:gridCol w:w="3000"/>
            <w:tblGridChange w:id="0">
              <w:tblGrid>
                <w:gridCol w:w="2010"/>
                <w:gridCol w:w="3990"/>
                <w:gridCol w:w="30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center"/>
                  <w:rPr>
                    <w:b w:val="1"/>
                    <w:bCs w:val="1"/>
                  </w:rPr>
                </w:pPr>
                <w:r w:rsidDel="00000000" w:rsidR="00000000" w:rsidRPr="00000000">
                  <w:rPr>
                    <w:b w:val="1"/>
                    <w:bCs w:val="1"/>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 Role in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Technology Used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sdtContent>
    </w:sdt>
    <w:p w:rsidR="00000000" w:rsidDel="00000000" w:rsidP="00000000" w:rsidRDefault="00000000" w:rsidRPr="00000000" w14:paraId="00000025">
      <w:pPr>
        <w:rPr>
          <w:b w:val="1"/>
          <w:bCs w:val="1"/>
        </w:rPr>
      </w:pPr>
      <w:r w:rsidDel="00000000" w:rsidR="00000000" w:rsidRPr="00000000">
        <w:rPr>
          <w:sz w:val="18"/>
          <w:rtl w:val="0"/>
        </w:rPr>
      </w:r>
    </w:p>
    <w:p w:rsidR="00000000" w:rsidDel="00000000" w:rsidP="00000000" w:rsidRDefault="00000000" w:rsidRPr="00000000" w14:paraId="00000026">
      <w:pPr>
        <w:rPr>
          <w:b w:val="1"/>
          <w:bCs w:val="1"/>
        </w:rPr>
      </w:pPr>
      <w:r w:rsidDel="00000000" w:rsidR="00000000" w:rsidRPr="00000000">
        <w:rPr>
          <w:sz w:val="18"/>
          <w:rtl w:val="0"/>
        </w:rPr>
      </w:r>
    </w:p>
    <w:p>
      <w:r>
        <w:rPr>
          <w:b/>
          <w:sz w:val="18"/>
        </w:rPr>
        <w:t>Published Project Links</w:t>
      </w:r>
    </w:p>
    <w:p>
      <w:pPr>
        <w:spacing w:after="20"/>
      </w:pPr>
      <w:r>
        <w:rPr>
          <w:b/>
          <w:sz w:val="18"/>
        </w:rPr>
        <w:t xml:space="preserve">GitHub repository: </w:t>
      </w:r>
      <w:r>
        <w:rPr>
          <w:sz w:val="18"/>
        </w:rPr>
        <w:t>https://github.com/suryadevsingh0225/Electric-Vehicle-Market-Performance-Insights</w:t>
      </w:r>
    </w:p>
    <w:p>
      <w:pPr>
        <w:spacing w:after="20"/>
      </w:pPr>
      <w:r>
        <w:rPr>
          <w:b/>
          <w:sz w:val="18"/>
        </w:rPr>
        <w:t xml:space="preserve">GitHub Pages website: </w:t>
      </w:r>
      <w:r>
        <w:rPr>
          <w:sz w:val="18"/>
        </w:rPr>
        <w:t>https://suryadevsingh0225.github.io/Electric-Vehicle-Market-Performance-Insights/</w:t>
      </w:r>
    </w:p>
    <w:p>
      <w:pPr>
        <w:spacing w:after="20"/>
      </w:pPr>
      <w:r>
        <w:rPr>
          <w:b/>
          <w:sz w:val="18"/>
        </w:rPr>
        <w:t xml:space="preserve">Tableau dashboard: </w:t>
      </w:r>
      <w:r>
        <w:rPr>
          <w:sz w:val="18"/>
        </w:rPr>
        <w:t>https://public.tableau.com/app/profile/suryadev.singh/viz/EV_Market_Performance_Insights_17931646155280/ELECTRICVEHICLEMARKETPERFORMANCEINSIGHT?publish=yes</w:t>
      </w:r>
    </w:p>
    <w:p>
      <w:pPr>
        <w:spacing w:after="20"/>
      </w:pPr>
      <w:r>
        <w:rPr>
          <w:b/>
          <w:sz w:val="18"/>
        </w:rPr>
        <w:t xml:space="preserve">Tableau Story 1: </w:t>
      </w:r>
      <w:r>
        <w:rPr>
          <w:sz w:val="18"/>
        </w:rPr>
        <w:t>https://public.tableau.com/app/profile/suryadev.singh/viz/EV_Market_Performance_InsightsStory1/EVMarketPerformanceOverview?publish=yes</w:t>
      </w:r>
    </w:p>
    <w:p>
      <w:pPr>
        <w:spacing w:after="20"/>
      </w:pPr>
      <w:r>
        <w:rPr>
          <w:b/>
          <w:sz w:val="18"/>
        </w:rPr>
        <w:t xml:space="preserve">Tableau Story 2: </w:t>
      </w:r>
      <w:r>
        <w:rPr>
          <w:sz w:val="18"/>
        </w:rPr>
        <w:t>https://public.tableau.com/app/profile/suryadev.singh/viz/EV_Market_Performance_InsightsStory2/EVTechnologyandCustomerInsights?publish=yes</w:t>
      </w:r>
    </w:p>
    <w:p>
      <w:r>
        <w:rPr>
          <w:b/>
          <w:sz w:val="18"/>
        </w:rPr>
        <w:t xml:space="preserve">Implementation note: </w:t>
      </w:r>
      <w:r>
        <w:rPr>
          <w:sz w:val="18"/>
        </w:rPr>
        <w:t>Team member: Self. Team ID intentionally blank. No Snowflake database, warehouse, SQL scripts, ETL pipeline or cloud data warehouse is claimed. Dataset counts describe the supplied test file and should not be represented as verified global EV market statistics.</w:t>
      </w:r>
    </w:p>
    <w:sectPr>
      <w:headerReference r:id="rId8"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6553200</wp:posOffset>
          </wp:positionH>
          <wp:positionV relativeFrom="page">
            <wp:posOffset>239913</wp:posOffset>
          </wp:positionV>
          <wp:extent cx="864691" cy="39528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76200</wp:posOffset>
          </wp:positionH>
          <wp:positionV relativeFrom="page">
            <wp:posOffset>144663</wp:posOffset>
          </wp:positionV>
          <wp:extent cx="1376363" cy="589870"/>
          <wp:effectExtent b="0" l="0" r="0" t="0"/>
          <wp:wrapNone/>
          <wp:docPr id="4"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NormalWeb">
    <w:name w:val="Normal (Web)"/>
    <w:basedOn w:val="Normal"/>
    <w:uiPriority w:val="99"/>
    <w:semiHidden w:val="1"/>
    <w:unhideWhenUsed w:val="1"/>
    <w:rsid w:val="009067B1"/>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mphasis">
    <w:name w:val="Emphasis"/>
    <w:basedOn w:val="DefaultParagraphFont"/>
    <w:uiPriority w:val="20"/>
    <w:qFormat w:val="1"/>
    <w:rsid w:val="008E20B8"/>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kzLwCLXBqfgnFrwvmWhfF8j69Q==">CgMxLjAaHwoBMBIaChgICVIUChJ0YWJsZS5hcTFjZTE5ZmY4dHM4AHIhMXZzTEYwOHlxOEhxWnRKT05LektVLVNTNGdOcGdjczVO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coreProperties>
</file>