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4"/>
          <w:szCs w:val="44"/>
        </w:rPr>
        <w:t xml:space="preserve">SILG+: Fused Systolic Incremental LUT Generator</w:t>
      </w:r>
    </w:p>
    <w:p>
      <w:pPr>
        <w:spacing w:after="60"/>
      </w:pPr>
      <w:r>
        <w:rPr>
          <w:i/>
          <w:iCs/>
          <w:color w:val="555555"/>
          <w:sz w:val="26"/>
          <w:szCs w:val="26"/>
        </w:rPr>
        <w:t xml:space="preserve">A multiplier-free, gated, and reuse-aware parallel LUT generator for PALUTE-class PIM accelerators</w:t>
      </w:r>
    </w:p>
    <w:p>
      <w:pPr>
        <w:spacing w:after="400"/>
      </w:pPr>
      <w:r>
        <w:rPr>
          <w:color w:val="777777"/>
          <w:sz w:val="20"/>
          <w:szCs w:val="20"/>
        </w:rPr>
        <w:t xml:space="preserve">Final-year project architecture proposal — v2 (fuses SILG with PPLG)</w:t>
      </w:r>
    </w:p>
    <w:p>
      <w:pPr>
        <w:pStyle w:val="Heading1"/>
        <w:spacing w:after="160" w:before="320"/>
      </w:pPr>
      <w:r>
        <w:t xml:space="preserve">1. Executive Summary</w:t>
      </w:r>
    </w:p>
    <w:p>
      <w:pPr>
        <w:spacing w:after="160"/>
      </w:pPr>
      <w:r>
        <w:t xml:space="preserve">This document extends the v1 SILG proposal after reviewing a second candidate design, PPLG (Parallel Pipelined bit-slice LUT Generator). PPLG shrinks PALUTE's multiplier by splitting it into smaller pipelined partial-product stages with clock gating; it is a legitimate, low-risk implementation technique, but it still multiplies — it reduces the size of the root-cause block rather than removing it. SILG replaces multiplication with incremental addition entirely, which is the stronger core mechanism and the stronger novelty claim.</w:t>
      </w:r>
    </w:p>
    <w:p>
      <w:pPr>
        <w:spacing w:after="160"/>
      </w:pPr>
      <w:r>
        <w:t xml:space="preserve">Rather than choosing one and discarding the other, this document proposes SILG+: SILG's multiplier-free wavefront core, fused with PPLG's genuinely useful implementation-layer ideas — fine-grained clock gating and lane replication — adapted to the mesh instead of a multiplier, plus one new mechanism, delta-caching, that exploits correlation between consecutive activation segments during autoregressive decode. The result keeps SILG's strongest property (no multiplier anywhere) while closing the practical gaps its v1 write-up left unspecified.</w:t>
      </w:r>
    </w:p>
    <w:p>
      <w:pPr>
        <w:pStyle w:val="Heading1"/>
        <w:spacing w:after="160" w:before="320"/>
      </w:pPr>
      <w:r>
        <w:t xml:space="preserve">2. Recap: why PALUTE's generator is expensive</w:t>
      </w:r>
    </w:p>
    <w:p>
      <w:pPr>
        <w:spacing w:after="160"/>
      </w:pPr>
      <w:r>
        <w:t xml:space="preserve">PALUTE's GEMM core dominates a single LUT generator's cost (96.0% area, 96.4% power — Fig. 9 of the paper) for two compounding reasons: it uses full multiplier hardware for what is, given INT4 weights, multiplication by a small constant, and it time-multiplexes that already-expensive array across three cycles per segment (|w1|x1, |w2|x2, −|w2|x2), tripling the switching activity on the most expensive block in the design.</w:t>
      </w:r>
    </w:p>
    <w:p>
      <w:pPr>
        <w:pStyle w:val="Heading1"/>
        <w:spacing w:after="160" w:before="320"/>
      </w:pPr>
      <w:r>
        <w:t xml:space="preserve">3. Evaluating the two candidate mechanisms</w:t>
      </w:r>
    </w:p>
    <w:p>
      <w:pPr>
        <w:pStyle w:val="Heading2"/>
        <w:spacing w:after="120" w:before="240"/>
      </w:pPr>
      <w:r>
        <w:t xml:space="preserve">3.1 SILG (v1 proposal, recap)</w:t>
      </w:r>
    </w:p>
    <w:p>
      <w:pPr>
        <w:spacing w:after="160"/>
      </w:pPr>
      <w:r>
        <w:t xml:space="preserve">SILG observes that w1·x1 + w2·x2 is a bilinear function sampled on an integer (w1, w2) grid: every entry differs from its neighbor by exactly one known increment (x1 or x2). It generates the whole half-table in a single spatial wavefront pass through a mesh of narrow adders, borrowing the Digital Differential Analyzer (DDA) technique from graphics/rasterization VLSI. No multiplier exists anywhere in the design, and nothing is reused across cycles for a different purpose.</w:t>
      </w:r>
    </w:p>
    <w:p>
      <w:pPr>
        <w:pStyle w:val="Heading2"/>
        <w:spacing w:after="120" w:before="240"/>
      </w:pPr>
      <w:r>
        <w:t xml:space="preserve">3.2 PPLG (bit-slice pipelined design)</w:t>
      </w:r>
    </w:p>
    <w:p>
      <w:pPr>
        <w:spacing w:after="160"/>
      </w:pPr>
      <w:r>
        <w:t xml:space="preserve">PPLG splits each 4-bit weight segment into high/low 2-bit chunks, computes each chunk's partial product against the fixed activation in a separate pipeline stage, and merges the results with an adder. It layers clock gating and operand bypass on top to idle unused sub-units. This is a standard pipelined/bit-sliced multiplier decomposition — the same family of technique used in DSP datapaths and radix-4 Booth pipelining.</w:t>
      </w:r>
    </w:p>
    <w:p>
      <w:pPr>
        <w:spacing w:after="160"/>
      </w:pPr>
      <w:r>
        <w:t xml:space="preserve">Strengths: familiar, low timing-closure risk; smaller per-stage switched capacitance; clock gating is a real, provable power reduction technique; lane replication and bit-width flexibility are useful engineering ideas independent of the core mechanism.</w:t>
      </w:r>
    </w:p>
    <w:p>
      <w:pPr>
        <w:spacing w:after="160"/>
      </w:pPr>
      <w:r>
        <w:t xml:space="preserve">Weaknesses: it still multiplies — shrinking the multiplier reduces the dominant cost block but does not remove the category of cost that makes it dominant. Pipeline registers and forwarding logic add switched capacitance that the paper's own justification does not account for. “One entry per cycle after fill” is a steady-state streaming claim; PALUTE generates LUTs on segment changes, so the pipeline-fill latency (roughly 4–5 cycles) is paid often, not amortized away, unless segments are streamed continuously. As a novelty claim for publication, pipelined bit-slicing is an implementation-level optimization, not a new computational mechanism — a reviewer familiar with digital design will likely read it as “we pipelined the existing datapath.”</w:t>
      </w:r>
    </w:p>
    <w:p>
      <w:pPr>
        <w:pStyle w:val="Heading2"/>
        <w:spacing w:after="120" w:before="240"/>
      </w:pPr>
      <w:r>
        <w:t xml:space="preserve">3.3 Verdict</w:t>
      </w:r>
    </w:p>
    <w:p>
      <w:pPr>
        <w:spacing w:after="160"/>
      </w:pPr>
      <w:r>
        <w:t xml:space="preserve">SILG is the stronger core architecture: it eliminates the root cause (multiplication) rather than shrinking it, and it offers a stronger, more defensible novelty story. PPLG is not without value, though — its gating, concurrency, and flexibility ideas are real and worth keeping; they were simply applied to the wrong core. The fused design below keeps SILG's mechanism and grafts on PPLG's practical contributions.</w:t>
      </w:r>
    </w:p>
    <w:p>
      <w:pPr>
        <w:pStyle w:val="Heading1"/>
        <w:spacing w:after="160" w:before="320"/>
      </w:pPr>
      <w:r>
        <w:t xml:space="preserve">4. Proposed fused architecture: SILG+</w:t>
      </w:r>
    </w:p>
    <w:p>
      <w:pPr>
        <w:pStyle w:val="Heading2"/>
        <w:spacing w:after="120" w:before="240"/>
      </w:pPr>
      <w:r>
        <w:t xml:space="preserve">4.1 Core (unchanged from v1): multiplier-free wavefront mesh</w:t>
      </w:r>
    </w:p>
    <w:p>
      <w:pPr>
        <w:spacing w:after="160"/>
      </w:pPr>
      <w:r>
        <w:t xml:space="preserve">The 2D mesh of narrow incremental adders, step registers for x1/x2, and single-pass wavefront propagation remain exactly as in the v1 SILG proposal. This is the load-bearing mechanism and the source of the novelty claim; nothing here is renegotiable in the fusion.</w:t>
      </w:r>
    </w:p>
    <w:p>
      <w:pPr>
        <w:pStyle w:val="Heading2"/>
        <w:spacing w:after="120" w:before="240"/>
      </w:pPr>
      <w:r>
        <w:t xml:space="preserve">4.2 Gated lanes (adapted from PPLG)</w:t>
      </w:r>
    </w:p>
    <w:p>
      <w:pPr>
        <w:spacing w:after="160"/>
      </w:pPr>
      <w:r>
        <w:t xml:space="preserve">PPLG's clock gating is a good idea applied to the wrong hardware. In SILG+, once a wavefront has passed a given mesh cell and its value is latched for the current segment, that cell's clock is gated off until the next segment reload — there is nothing left for it to compute. Because the mesh has no multiplier bits to gate in the first place, this gating is cheap to add and has no correctness risk beyond standard clock-gating verification (glitch-free enable, no gated clock skew issues).</w:t>
      </w:r>
    </w:p>
    <w:p>
      <w:pPr>
        <w:pStyle w:val="Heading2"/>
        <w:spacing w:after="120" w:before="240"/>
      </w:pPr>
      <w:r>
        <w:t xml:space="preserve">4.3 Lane replication for concurrency (adapted from PPLG)</w:t>
      </w:r>
    </w:p>
    <w:p>
      <w:pPr>
        <w:spacing w:after="160"/>
      </w:pPr>
      <w:r>
        <w:t xml:space="preserve">PPLG replicates pipelines to handle multiple concurrent segments. SILG+ replicates whole small meshes instead of multiplier pipelines — each mesh is already tiny (no multiplier area), so a few parallel mesh instances give concurrency across simultaneously in-flight activation segments (e.g. different channels or KV-heads during decode) without ever paying a multiplication cost, which is a strictly better trade than replicating a pipelined multiplier for the same purpose.</w:t>
      </w:r>
    </w:p>
    <w:p>
      <w:pPr>
        <w:pStyle w:val="Heading2"/>
        <w:spacing w:after="120" w:before="240"/>
      </w:pPr>
      <w:r>
        <w:t xml:space="preserve">4.4 Delta-caching for corner values (new)</w:t>
      </w:r>
    </w:p>
    <w:p>
      <w:pPr>
        <w:spacing w:after="160"/>
      </w:pPr>
      <w:r>
        <w:t xml:space="preserve">The one place SILG still performs a non-incremental computation is the mesh's “corner value,” computed fresh at the start of every new segment. Consecutive activation segments in autoregressive decode are often numerically close (adjacent channels of the same token, or the same channel across nearby decode steps). SILG+ stores the previous corner value and, when the new segment's step values are close to the previous ones, computes the new corner as corner_prev + (x1_new − x1_old)·w1_corner + (x2_new − x2_old)·w2_corner — itself an incremental add when the deltas are small. A full corner recomputation is used as the fallback whenever the delta exceeds a configurable threshold, so correctness never depends on the correlation assumption holding.</w:t>
      </w:r>
    </w:p>
    <w:p>
      <w:pPr>
        <w:pStyle w:val="Heading2"/>
        <w:spacing w:after="120" w:before="240"/>
      </w:pPr>
      <w:r>
        <w:t xml:space="preserve">4.5 Configurable bit-width (adapted from PPLG)</w:t>
      </w:r>
    </w:p>
    <w:p>
      <w:pPr>
        <w:spacing w:after="160"/>
      </w:pPr>
      <w:r>
        <w:t xml:space="preserve">Since the mesh is already parameterized by segment length b and weight width q, step-register width and mesh depth are exposed as build-time parameters so the same generator retargets to INT3/INT8 experiments without redesign — useful directly for a sensitivity-analysis section mirroring PALUTE's own Fig. 7/8 sweeps.</w:t>
      </w:r>
    </w:p>
    <w:p>
      <w:pPr>
        <w:pStyle w:val="Heading1"/>
        <w:spacing w:after="160" w:before="320"/>
      </w:pPr>
      <w:r>
        <w:t xml:space="preserve">5. Three-way comparison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900"/>
        <w:gridCol w:w="2520"/>
        <w:gridCol w:w="2520"/>
        <w:gridCol w:w="2520"/>
      </w:tblGrid>
      <w:tr>
        <w:trPr>
          <w:tblHeader/>
        </w:trPr>
        <w:tc>
          <w:tcPr>
            <w:tcW w:type="dxa" w:w="1900"/>
            <w:shd w:fill="2F5496" w:color="auto" w:val="clear"/>
            <w:vAlign w:val="center"/>
          </w:tcPr>
          <w:p>
            <w:pPr>
              <w:spacing w:after="40"/>
            </w:pPr>
            <w:r>
              <w:rPr>
                <w:b/>
                <w:bCs/>
                <w:sz w:val="18"/>
                <w:szCs w:val="18"/>
              </w:rPr>
              <w:t xml:space="preserve">Property</w:t>
            </w:r>
          </w:p>
        </w:tc>
        <w:tc>
          <w:tcPr>
            <w:tcW w:type="dxa" w:w="2520"/>
            <w:shd w:fill="2F5496" w:color="auto" w:val="clear"/>
            <w:vAlign w:val="center"/>
          </w:tcPr>
          <w:p>
            <w:pPr>
              <w:spacing w:after="40"/>
            </w:pPr>
            <w:r>
              <w:rPr>
                <w:b/>
                <w:bCs/>
                <w:sz w:val="18"/>
                <w:szCs w:val="18"/>
              </w:rPr>
              <w:t xml:space="preserve">PALUTE</w:t>
            </w:r>
          </w:p>
        </w:tc>
        <w:tc>
          <w:tcPr>
            <w:tcW w:type="dxa" w:w="2520"/>
            <w:shd w:fill="2F5496" w:color="auto" w:val="clear"/>
            <w:vAlign w:val="center"/>
          </w:tcPr>
          <w:p>
            <w:pPr>
              <w:spacing w:after="40"/>
            </w:pPr>
            <w:r>
              <w:rPr>
                <w:b/>
                <w:bCs/>
                <w:sz w:val="18"/>
                <w:szCs w:val="18"/>
              </w:rPr>
              <w:t xml:space="preserve">PPLG (pipelined bit-slice)</w:t>
            </w:r>
          </w:p>
        </w:tc>
        <w:tc>
          <w:tcPr>
            <w:tcW w:type="dxa" w:w="2520"/>
            <w:shd w:fill="2F5496" w:color="auto" w:val="clear"/>
            <w:vAlign w:val="center"/>
          </w:tcPr>
          <w:p>
            <w:pPr>
              <w:spacing w:after="40"/>
            </w:pPr>
            <w:r>
              <w:rPr>
                <w:b/>
                <w:bCs/>
                <w:sz w:val="18"/>
                <w:szCs w:val="18"/>
              </w:rPr>
              <w:t xml:space="preserve">SILG+ (fused, proposed)</w:t>
            </w:r>
          </w:p>
        </w:tc>
      </w:tr>
      <w:tr>
        <w:tc>
          <w:tcPr>
            <w:shd w:fill="F2F2F2" w:color="auto" w:val="clear"/>
            <w:vAlign w:val="center"/>
          </w:tcPr>
          <w:p>
            <w:pPr>
              <w:spacing w:after="40"/>
            </w:pPr>
            <w:r>
              <w:rPr>
                <w:b/>
                <w:bCs/>
                <w:sz w:val="18"/>
                <w:szCs w:val="18"/>
              </w:rPr>
              <w:t xml:space="preserve">Core primitive</w:t>
            </w:r>
          </w:p>
        </w:tc>
        <w:tc>
          <w:tcPr>
            <w:shd w:fill="F2F2F2" w:color="auto" w:val="clear"/>
            <w:vAlign w:val="center"/>
          </w:tcPr>
          <w:p>
            <w:pPr>
              <w:spacing w:after="40"/>
            </w:pPr>
            <w:r>
              <w:rPr>
                <w:b w:val="false"/>
                <w:bCs w:val="false"/>
                <w:sz w:val="18"/>
                <w:szCs w:val="18"/>
              </w:rPr>
              <w:t xml:space="preserve">Full constant multipliers</w:t>
            </w:r>
          </w:p>
        </w:tc>
        <w:tc>
          <w:tcPr>
            <w:shd w:fill="F2F2F2" w:color="auto" w:val="clear"/>
            <w:vAlign w:val="center"/>
          </w:tcPr>
          <w:p>
            <w:pPr>
              <w:spacing w:after="40"/>
            </w:pPr>
            <w:r>
              <w:rPr>
                <w:b w:val="false"/>
                <w:bCs w:val="false"/>
                <w:sz w:val="18"/>
                <w:szCs w:val="18"/>
              </w:rPr>
              <w:t xml:space="preserve">Narrower 2-bit×4-bit partial-product multipliers</w:t>
            </w:r>
          </w:p>
        </w:tc>
        <w:tc>
          <w:tcPr>
            <w:shd w:fill="F2F2F2" w:color="auto" w:val="clear"/>
            <w:vAlign w:val="center"/>
          </w:tcPr>
          <w:p>
            <w:pPr>
              <w:spacing w:after="40"/>
            </w:pPr>
            <w:r>
              <w:rPr>
                <w:b w:val="false"/>
                <w:bCs w:val="false"/>
                <w:sz w:val="18"/>
                <w:szCs w:val="18"/>
              </w:rPr>
              <w:t xml:space="preserve">No multiplier anywhere — incremental adders only</w:t>
            </w:r>
          </w:p>
        </w:tc>
      </w:tr>
      <w:tr>
        <w:tc>
          <w:tcPr>
            <w:shd w:fill="FFFFFF" w:color="auto" w:val="clear"/>
            <w:vAlign w:val="center"/>
          </w:tcPr>
          <w:p>
            <w:pPr>
              <w:spacing w:after="40"/>
            </w:pPr>
            <w:r>
              <w:rPr>
                <w:b/>
                <w:bCs/>
                <w:sz w:val="18"/>
                <w:szCs w:val="18"/>
              </w:rPr>
              <w:t xml:space="preserve">Root cause addressed?</w:t>
            </w:r>
          </w:p>
        </w:tc>
        <w:tc>
          <w:tcPr>
            <w:shd w:fill="FFFFFF" w:color="auto" w:val="clear"/>
            <w:vAlign w:val="center"/>
          </w:tcPr>
          <w:p>
            <w:pPr>
              <w:spacing w:after="40"/>
            </w:pPr>
            <w:r>
              <w:rPr>
                <w:b w:val="false"/>
                <w:bCs w:val="false"/>
                <w:sz w:val="18"/>
                <w:szCs w:val="18"/>
              </w:rPr>
              <w:t xml:space="preserve">— (this is the problem)</w:t>
            </w:r>
          </w:p>
        </w:tc>
        <w:tc>
          <w:tcPr>
            <w:shd w:fill="FFFFFF" w:color="auto" w:val="clear"/>
            <w:vAlign w:val="center"/>
          </w:tcPr>
          <w:p>
            <w:pPr>
              <w:spacing w:after="40"/>
            </w:pPr>
            <w:r>
              <w:rPr>
                <w:b w:val="false"/>
                <w:bCs w:val="false"/>
                <w:sz w:val="18"/>
                <w:szCs w:val="18"/>
              </w:rPr>
              <w:t xml:space="preserve">Shrinks the multiplier; multiplication itself remains</w:t>
            </w:r>
          </w:p>
        </w:tc>
        <w:tc>
          <w:tcPr>
            <w:shd w:fill="FFFFFF" w:color="auto" w:val="clear"/>
            <w:vAlign w:val="center"/>
          </w:tcPr>
          <w:p>
            <w:pPr>
              <w:spacing w:after="40"/>
            </w:pPr>
            <w:r>
              <w:rPr>
                <w:b w:val="false"/>
                <w:bCs w:val="false"/>
                <w:sz w:val="18"/>
                <w:szCs w:val="18"/>
              </w:rPr>
              <w:t xml:space="preserve">Removes multiplication as a category</w:t>
            </w:r>
          </w:p>
        </w:tc>
      </w:tr>
      <w:tr>
        <w:tc>
          <w:tcPr>
            <w:shd w:fill="F2F2F2" w:color="auto" w:val="clear"/>
            <w:vAlign w:val="center"/>
          </w:tcPr>
          <w:p>
            <w:pPr>
              <w:spacing w:after="40"/>
            </w:pPr>
            <w:r>
              <w:rPr>
                <w:b/>
                <w:bCs/>
                <w:sz w:val="18"/>
                <w:szCs w:val="18"/>
              </w:rPr>
              <w:t xml:space="preserve">Schedule</w:t>
            </w:r>
          </w:p>
        </w:tc>
        <w:tc>
          <w:tcPr>
            <w:shd w:fill="F2F2F2" w:color="auto" w:val="clear"/>
            <w:vAlign w:val="center"/>
          </w:tcPr>
          <w:p>
            <w:pPr>
              <w:spacing w:after="40"/>
            </w:pPr>
            <w:r>
              <w:rPr>
                <w:b w:val="false"/>
                <w:bCs w:val="false"/>
                <w:sz w:val="18"/>
                <w:szCs w:val="18"/>
              </w:rPr>
              <w:t xml:space="preserve">3-cycle FSM, one array reused 3x</w:t>
            </w:r>
          </w:p>
        </w:tc>
        <w:tc>
          <w:tcPr>
            <w:shd w:fill="F2F2F2" w:color="auto" w:val="clear"/>
            <w:vAlign w:val="center"/>
          </w:tcPr>
          <w:p>
            <w:pPr>
              <w:spacing w:after="40"/>
            </w:pPr>
            <w:r>
              <w:rPr>
                <w:b w:val="false"/>
                <w:bCs w:val="false"/>
                <w:sz w:val="18"/>
                <w:szCs w:val="18"/>
              </w:rPr>
              <w:t xml:space="preserve">4–5 stage pipeline, registers every cycle</w:t>
            </w:r>
          </w:p>
        </w:tc>
        <w:tc>
          <w:tcPr>
            <w:shd w:fill="F2F2F2" w:color="auto" w:val="clear"/>
            <w:vAlign w:val="center"/>
          </w:tcPr>
          <w:p>
            <w:pPr>
              <w:spacing w:after="40"/>
            </w:pPr>
            <w:r>
              <w:rPr>
                <w:b w:val="false"/>
                <w:bCs w:val="false"/>
                <w:sz w:val="18"/>
                <w:szCs w:val="18"/>
              </w:rPr>
              <w:t xml:space="preserve">Single wavefront pass, structural (not reused) pipeline</w:t>
            </w:r>
          </w:p>
        </w:tc>
      </w:tr>
      <w:tr>
        <w:tc>
          <w:tcPr>
            <w:shd w:fill="FFFFFF" w:color="auto" w:val="clear"/>
            <w:vAlign w:val="center"/>
          </w:tcPr>
          <w:p>
            <w:pPr>
              <w:spacing w:after="40"/>
            </w:pPr>
            <w:r>
              <w:rPr>
                <w:b/>
                <w:bCs/>
                <w:sz w:val="18"/>
                <w:szCs w:val="18"/>
              </w:rPr>
              <w:t xml:space="preserve">Extra hardware added</w:t>
            </w:r>
          </w:p>
        </w:tc>
        <w:tc>
          <w:tcPr>
            <w:shd w:fill="FFFFFF" w:color="auto" w:val="clear"/>
            <w:vAlign w:val="center"/>
          </w:tcPr>
          <w:p>
            <w:pPr>
              <w:spacing w:after="40"/>
            </w:pPr>
            <w:r>
              <w:rPr>
                <w:b w:val="false"/>
                <w:bCs w:val="false"/>
                <w:sz w:val="18"/>
                <w:szCs w:val="18"/>
              </w:rPr>
              <w:t xml:space="preserve">—</w:t>
            </w:r>
          </w:p>
        </w:tc>
        <w:tc>
          <w:tcPr>
            <w:shd w:fill="FFFFFF" w:color="auto" w:val="clear"/>
            <w:vAlign w:val="center"/>
          </w:tcPr>
          <w:p>
            <w:pPr>
              <w:spacing w:after="40"/>
            </w:pPr>
            <w:r>
              <w:rPr>
                <w:b w:val="false"/>
                <w:bCs w:val="false"/>
                <w:sz w:val="18"/>
                <w:szCs w:val="18"/>
              </w:rPr>
              <w:t xml:space="preserve">Pipeline registers + forwarding/merge logic</w:t>
            </w:r>
          </w:p>
        </w:tc>
        <w:tc>
          <w:tcPr>
            <w:shd w:fill="FFFFFF" w:color="auto" w:val="clear"/>
            <w:vAlign w:val="center"/>
          </w:tcPr>
          <w:p>
            <w:pPr>
              <w:spacing w:after="40"/>
            </w:pPr>
            <w:r>
              <w:rPr>
                <w:b w:val="false"/>
                <w:bCs w:val="false"/>
                <w:sz w:val="18"/>
                <w:szCs w:val="18"/>
              </w:rPr>
              <w:t xml:space="preserve">Per-cell clock gating latches (small)</w:t>
            </w:r>
          </w:p>
        </w:tc>
      </w:tr>
      <w:tr>
        <w:tc>
          <w:tcPr>
            <w:shd w:fill="F2F2F2" w:color="auto" w:val="clear"/>
            <w:vAlign w:val="center"/>
          </w:tcPr>
          <w:p>
            <w:pPr>
              <w:spacing w:after="40"/>
            </w:pPr>
            <w:r>
              <w:rPr>
                <w:b/>
                <w:bCs/>
                <w:sz w:val="18"/>
                <w:szCs w:val="18"/>
              </w:rPr>
              <w:t xml:space="preserve">Power reduction mechanism</w:t>
            </w:r>
          </w:p>
        </w:tc>
        <w:tc>
          <w:tcPr>
            <w:shd w:fill="F2F2F2" w:color="auto" w:val="clear"/>
            <w:vAlign w:val="center"/>
          </w:tcPr>
          <w:p>
            <w:pPr>
              <w:spacing w:after="40"/>
            </w:pPr>
            <w:r>
              <w:rPr>
                <w:b w:val="false"/>
                <w:bCs w:val="false"/>
                <w:sz w:val="18"/>
                <w:szCs w:val="18"/>
              </w:rPr>
              <w:t xml:space="preserve">—</w:t>
            </w:r>
          </w:p>
        </w:tc>
        <w:tc>
          <w:tcPr>
            <w:shd w:fill="F2F2F2" w:color="auto" w:val="clear"/>
            <w:vAlign w:val="center"/>
          </w:tcPr>
          <w:p>
            <w:pPr>
              <w:spacing w:after="40"/>
            </w:pPr>
            <w:r>
              <w:rPr>
                <w:b w:val="false"/>
                <w:bCs w:val="false"/>
                <w:sz w:val="18"/>
                <w:szCs w:val="18"/>
              </w:rPr>
              <w:t xml:space="preserve">Smaller switched capacitance per stage + clock gating masking added register power</w:t>
            </w:r>
          </w:p>
        </w:tc>
        <w:tc>
          <w:tcPr>
            <w:shd w:fill="F2F2F2" w:color="auto" w:val="clear"/>
            <w:vAlign w:val="center"/>
          </w:tcPr>
          <w:p>
            <w:pPr>
              <w:spacing w:after="40"/>
            </w:pPr>
            <w:r>
              <w:rPr>
                <w:b w:val="false"/>
                <w:bCs w:val="false"/>
                <w:sz w:val="18"/>
                <w:szCs w:val="18"/>
              </w:rPr>
              <w:t xml:space="preserve">Eliminated multiplier switching + gated idle mesh cells + reused corner values on correlated segments</w:t>
            </w:r>
          </w:p>
        </w:tc>
      </w:tr>
      <w:tr>
        <w:tc>
          <w:tcPr>
            <w:shd w:fill="FFFFFF" w:color="auto" w:val="clear"/>
            <w:vAlign w:val="center"/>
          </w:tcPr>
          <w:p>
            <w:pPr>
              <w:spacing w:after="40"/>
            </w:pPr>
            <w:r>
              <w:rPr>
                <w:b/>
                <w:bCs/>
                <w:sz w:val="18"/>
                <w:szCs w:val="18"/>
              </w:rPr>
              <w:t xml:space="preserve">Segment-change latency</w:t>
            </w:r>
          </w:p>
        </w:tc>
        <w:tc>
          <w:tcPr>
            <w:shd w:fill="FFFFFF" w:color="auto" w:val="clear"/>
            <w:vAlign w:val="center"/>
          </w:tcPr>
          <w:p>
            <w:pPr>
              <w:spacing w:after="40"/>
            </w:pPr>
            <w:r>
              <w:rPr>
                <w:b w:val="false"/>
                <w:bCs w:val="false"/>
                <w:sz w:val="18"/>
                <w:szCs w:val="18"/>
              </w:rPr>
              <w:t xml:space="preserve">3 cycles</w:t>
            </w:r>
          </w:p>
        </w:tc>
        <w:tc>
          <w:tcPr>
            <w:shd w:fill="FFFFFF" w:color="auto" w:val="clear"/>
            <w:vAlign w:val="center"/>
          </w:tcPr>
          <w:p>
            <w:pPr>
              <w:spacing w:after="40"/>
            </w:pPr>
            <w:r>
              <w:rPr>
                <w:b w:val="false"/>
                <w:bCs w:val="false"/>
                <w:sz w:val="18"/>
                <w:szCs w:val="18"/>
              </w:rPr>
              <w:t xml:space="preserve">Pipeline fill (≈ 4–5 cycles) on every new segment unless streaming</w:t>
            </w:r>
          </w:p>
        </w:tc>
        <w:tc>
          <w:tcPr>
            <w:shd w:fill="FFFFFF" w:color="auto" w:val="clear"/>
            <w:vAlign w:val="center"/>
          </w:tcPr>
          <w:p>
            <w:pPr>
              <w:spacing w:after="40"/>
            </w:pPr>
            <w:r>
              <w:rPr>
                <w:b w:val="false"/>
                <w:bCs w:val="false"/>
                <w:sz w:val="18"/>
                <w:szCs w:val="18"/>
              </w:rPr>
              <w:t xml:space="preserve">1 wavefront pass; near-zero on correlated segments via delta-caching</w:t>
            </w:r>
          </w:p>
        </w:tc>
      </w:tr>
      <w:tr>
        <w:tc>
          <w:tcPr>
            <w:shd w:fill="F2F2F2" w:color="auto" w:val="clear"/>
            <w:vAlign w:val="center"/>
          </w:tcPr>
          <w:p>
            <w:pPr>
              <w:spacing w:after="40"/>
            </w:pPr>
            <w:r>
              <w:rPr>
                <w:b/>
                <w:bCs/>
                <w:sz w:val="18"/>
                <w:szCs w:val="18"/>
              </w:rPr>
              <w:t xml:space="preserve">Novelty class</w:t>
            </w:r>
          </w:p>
        </w:tc>
        <w:tc>
          <w:tcPr>
            <w:shd w:fill="F2F2F2" w:color="auto" w:val="clear"/>
            <w:vAlign w:val="center"/>
          </w:tcPr>
          <w:p>
            <w:pPr>
              <w:spacing w:after="40"/>
            </w:pPr>
            <w:r>
              <w:rPr>
                <w:b w:val="false"/>
                <w:bCs w:val="false"/>
                <w:sz w:val="18"/>
                <w:szCs w:val="18"/>
              </w:rPr>
              <w:t xml:space="preserve">—</w:t>
            </w:r>
          </w:p>
        </w:tc>
        <w:tc>
          <w:tcPr>
            <w:shd w:fill="F2F2F2" w:color="auto" w:val="clear"/>
            <w:vAlign w:val="center"/>
          </w:tcPr>
          <w:p>
            <w:pPr>
              <w:spacing w:after="40"/>
            </w:pPr>
            <w:r>
              <w:rPr>
                <w:b w:val="false"/>
                <w:bCs w:val="false"/>
                <w:sz w:val="18"/>
                <w:szCs w:val="18"/>
              </w:rPr>
              <w:t xml:space="preserve">Implementation-level (pipelined datapath, well-known DSP technique)</w:t>
            </w:r>
          </w:p>
        </w:tc>
        <w:tc>
          <w:tcPr>
            <w:shd w:fill="F2F2F2" w:color="auto" w:val="clear"/>
            <w:vAlign w:val="center"/>
          </w:tcPr>
          <w:p>
            <w:pPr>
              <w:spacing w:after="40"/>
            </w:pPr>
            <w:r>
              <w:rPr>
                <w:b w:val="false"/>
                <w:bCs w:val="false"/>
                <w:sz w:val="18"/>
                <w:szCs w:val="18"/>
              </w:rPr>
              <w:t xml:space="preserve">Mechanism-level (incremental/DDA generation, new to this domain) + implementation-level gating/reuse</w:t>
            </w:r>
          </w:p>
        </w:tc>
      </w:tr>
      <w:tr>
        <w:tc>
          <w:tcPr>
            <w:shd w:fill="FFFFFF" w:color="auto" w:val="clear"/>
            <w:vAlign w:val="center"/>
          </w:tcPr>
          <w:p>
            <w:pPr>
              <w:spacing w:after="40"/>
            </w:pPr>
            <w:r>
              <w:rPr>
                <w:b/>
                <w:bCs/>
                <w:sz w:val="18"/>
                <w:szCs w:val="18"/>
              </w:rPr>
              <w:t xml:space="preserve">Area trend</w:t>
            </w:r>
          </w:p>
        </w:tc>
        <w:tc>
          <w:tcPr>
            <w:shd w:fill="FFFFFF" w:color="auto" w:val="clear"/>
            <w:vAlign w:val="center"/>
          </w:tcPr>
          <w:p>
            <w:pPr>
              <w:spacing w:after="40"/>
            </w:pPr>
            <w:r>
              <w:rPr>
                <w:b w:val="false"/>
                <w:bCs w:val="false"/>
                <w:sz w:val="18"/>
                <w:szCs w:val="18"/>
              </w:rPr>
              <w:t xml:space="preserve">Baseline</w:t>
            </w:r>
          </w:p>
        </w:tc>
        <w:tc>
          <w:tcPr>
            <w:shd w:fill="FFFFFF" w:color="auto" w:val="clear"/>
            <w:vAlign w:val="center"/>
          </w:tcPr>
          <w:p>
            <w:pPr>
              <w:spacing w:after="40"/>
            </w:pPr>
            <w:r>
              <w:rPr>
                <w:b w:val="false"/>
                <w:bCs w:val="false"/>
                <w:sz w:val="18"/>
                <w:szCs w:val="18"/>
              </w:rPr>
              <w:t xml:space="preserve">Comparable, slightly higher (registers)</w:t>
            </w:r>
          </w:p>
        </w:tc>
        <w:tc>
          <w:tcPr>
            <w:shd w:fill="FFFFFF" w:color="auto" w:val="clear"/>
            <w:vAlign w:val="center"/>
          </w:tcPr>
          <w:p>
            <w:pPr>
              <w:spacing w:after="40"/>
            </w:pPr>
            <w:r>
              <w:rPr>
                <w:b w:val="false"/>
                <w:bCs w:val="false"/>
                <w:sz w:val="18"/>
                <w:szCs w:val="18"/>
              </w:rPr>
              <w:t xml:space="preserve">Comparable or lower (adders &lt; multipliers; gating logic is small)</w:t>
            </w:r>
          </w:p>
        </w:tc>
      </w:tr>
    </w:tbl>
    <w:p>
      <w:pPr>
        <w:pStyle w:val="Heading1"/>
        <w:spacing w:after="160" w:before="320"/>
      </w:pPr>
      <w:r>
        <w:t xml:space="preserve">6. Validation &amp; benchmarking plan</w:t>
      </w:r>
    </w:p>
    <w:p>
      <w:pPr>
        <w:spacing w:after="160"/>
      </w:pPr>
      <w:r>
        <w:t xml:space="preserve">Extend the v1 plan to cover the fused design and, where feasible, a measured PPLG baseline for a genuine 3-way comparison:</w:t>
      </w:r>
    </w:p>
    <w:p>
      <w:pPr>
        <w:pStyle w:val="ListParagraph"/>
        <w:numPr>
          <w:ilvl w:val="0"/>
          <w:numId w:val="2"/>
        </w:numPr>
        <w:spacing w:after="80"/>
      </w:pPr>
      <w:r>
        <w:t xml:space="preserve">Golden model (Python): direct formula, wavefront generation, and delta-caching logic; verify bit-exact equivalence across all (x1,x2) segment pairs and realistic segment-change sequences (not just isolated pairs) so the correlation assumption behind delta-caching is tested under real decode-like patterns.</w:t>
      </w:r>
    </w:p>
    <w:p>
      <w:pPr>
        <w:pStyle w:val="ListParagraph"/>
        <w:numPr>
          <w:ilvl w:val="0"/>
          <w:numId w:val="2"/>
        </w:numPr>
        <w:spacing w:after="80"/>
      </w:pPr>
      <w:r>
        <w:t xml:space="preserve">RTL: parameterizable SILG+ module — mesh, wavefront controller, per-cell clock gating, delta-cache compare/reuse path, lane replication wrapper.</w:t>
      </w:r>
    </w:p>
    <w:p>
      <w:pPr>
        <w:pStyle w:val="ListParagraph"/>
        <w:numPr>
          <w:ilvl w:val="0"/>
          <w:numId w:val="2"/>
        </w:numPr>
        <w:spacing w:after="80"/>
      </w:pPr>
      <w:r>
        <w:t xml:space="preserve">If time allows, implement a minimal PPLG baseline in RTL as well (not just analysis) — a measured 3-way comparison (PALUTE-style / PPLG / SILG+) is significantly stronger evidence for the paper than an analytical argument alone.</w:t>
      </w:r>
    </w:p>
    <w:p>
      <w:pPr>
        <w:pStyle w:val="ListParagraph"/>
        <w:numPr>
          <w:ilvl w:val="0"/>
          <w:numId w:val="2"/>
        </w:numPr>
        <w:spacing w:after="80"/>
      </w:pPr>
      <w:r>
        <w:t xml:space="preserve">Synthesis &amp; PPA: Genus, Joules, Innovus, same technology discipline as before; reproduce PALUTE's Fig. 9-style breakdown for all designs under comparison.</w:t>
      </w:r>
    </w:p>
    <w:p>
      <w:pPr>
        <w:pStyle w:val="ListParagraph"/>
        <w:numPr>
          <w:ilvl w:val="0"/>
          <w:numId w:val="2"/>
        </w:numPr>
        <w:spacing w:after="80"/>
      </w:pPr>
      <w:r>
        <w:t xml:space="preserve">Segment-correlation study: using representative Qwen-style activation traces (or synthetic traces with controllable correlation), measure how often delta-caching's fallback path triggers, and report the resulting average-case vs. worst-case generation latency — this becomes a dedicated results subsection.</w:t>
      </w:r>
    </w:p>
    <w:p>
      <w:pPr>
        <w:pStyle w:val="ListParagraph"/>
        <w:numPr>
          <w:ilvl w:val="0"/>
          <w:numId w:val="2"/>
        </w:numPr>
        <w:spacing w:after="80"/>
      </w:pPr>
      <w:r>
        <w:t xml:space="preserve">FPGA bring-up: SignalTap capture of the wavefront, the gating behavior, and delta-cache hit/miss events for the demo.</w:t>
      </w:r>
    </w:p>
    <w:p>
      <w:pPr>
        <w:pStyle w:val="Heading1"/>
        <w:spacing w:after="160" w:before="320"/>
      </w:pPr>
      <w:r>
        <w:t xml:space="preserve">7. Risks and mitigations</w:t>
      </w:r>
    </w:p>
    <w:p>
      <w:pPr>
        <w:pStyle w:val="ListParagraph"/>
        <w:numPr>
          <w:ilvl w:val="0"/>
          <w:numId w:val="3"/>
        </w:numPr>
        <w:spacing w:after="80"/>
      </w:pPr>
      <w:r>
        <w:t xml:space="preserve">Timing closure on the wavefront pipeline — mitigate with a small number of registered structural stages if a single combinational pass doesn't meet the clock target (unchanged from v1).</w:t>
      </w:r>
    </w:p>
    <w:p>
      <w:pPr>
        <w:pStyle w:val="ListParagraph"/>
        <w:numPr>
          <w:ilvl w:val="0"/>
          <w:numId w:val="3"/>
        </w:numPr>
        <w:spacing w:after="80"/>
      </w:pPr>
      <w:r>
        <w:t xml:space="preserve">Clock-gating correctness (glitches, gated-clock timing) — mitigate with standard integrated clock-gating cells and static timing checks; keep gating decisions registered, not combinational, on the enable path.</w:t>
      </w:r>
    </w:p>
    <w:p>
      <w:pPr>
        <w:pStyle w:val="ListParagraph"/>
        <w:numPr>
          <w:ilvl w:val="0"/>
          <w:numId w:val="3"/>
        </w:numPr>
        <w:spacing w:after="80"/>
      </w:pPr>
      <w:r>
        <w:t xml:space="preserve">Delta-caching correctness risk — the fallback-to-full-recompute path must be exhaustively verified so an incorrect “correlated” assumption never silently produces a wrong LUT entry; treat delta-caching as a pure performance/power optimization with a provably correct fallback, not as a source of approximation.</w:t>
      </w:r>
    </w:p>
    <w:p>
      <w:pPr>
        <w:pStyle w:val="ListParagraph"/>
        <w:numPr>
          <w:ilvl w:val="0"/>
          <w:numId w:val="3"/>
        </w:numPr>
        <w:spacing w:after="80"/>
      </w:pPr>
      <w:r>
        <w:t xml:space="preserve">Delta-caching may show limited benefit if real decode traces are less correlated than assumed — mitigate by measuring hit rate early on real or representative traces before over-investing in this path; it is an additive optimization on top of SILG's core win, not a dependency for the main result.</w:t>
      </w:r>
    </w:p>
    <w:p>
      <w:pPr>
        <w:pStyle w:val="ListParagraph"/>
        <w:numPr>
          <w:ilvl w:val="0"/>
          <w:numId w:val="3"/>
        </w:numPr>
        <w:spacing w:after="80"/>
      </w:pPr>
      <w:r>
        <w:t xml:space="preserve">Half-table/sign-flip interface mismatches — mitigate by keeping that block's port list and timing identical to PALUTE's description (unchanged from v1).</w:t>
      </w:r>
    </w:p>
    <w:p>
      <w:pPr>
        <w:pStyle w:val="ListParagraph"/>
        <w:numPr>
          <w:ilvl w:val="0"/>
          <w:numId w:val="3"/>
        </w:numPr>
        <w:spacing w:after="80"/>
      </w:pPr>
      <w:r>
        <w:t xml:space="preserve">Overclaiming novelty — be explicit in the paper about which contributions are mechanism-level (incremental/DDA generation — new to this domain) versus implementation-level (gating, lane replication, delta-caching — real but more incremental); this framing is honest and still adds up to a strong combined contribution.</w:t>
      </w:r>
    </w:p>
    <w:p>
      <w:pPr>
        <w:pStyle w:val="Heading1"/>
        <w:spacing w:after="160" w:before="320"/>
      </w:pPr>
      <w:r>
        <w:t xml:space="preserve">8. Suggested work split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400"/>
      </w:tblGrid>
      <w:tr>
        <w:trPr>
          <w:tblHeader/>
        </w:trPr>
        <w:tc>
          <w:tcPr>
            <w:tcW w:type="dxa" w:w="3000"/>
            <w:shd w:fill="2F5496" w:color="auto" w:val="clear"/>
            <w:vAlign w:val="center"/>
          </w:tcPr>
          <w:p>
            <w:pPr>
              <w:spacing w:after="40"/>
            </w:pPr>
            <w:r>
              <w:rPr>
                <w:b/>
                <w:bCs/>
                <w:sz w:val="18"/>
                <w:szCs w:val="18"/>
              </w:rPr>
              <w:t xml:space="preserve">Workstream</w:t>
            </w:r>
          </w:p>
        </w:tc>
        <w:tc>
          <w:tcPr>
            <w:tcW w:type="dxa" w:w="4200"/>
            <w:shd w:fill="2F5496" w:color="auto" w:val="clear"/>
            <w:vAlign w:val="center"/>
          </w:tcPr>
          <w:p>
            <w:pPr>
              <w:spacing w:after="40"/>
            </w:pPr>
            <w:r>
              <w:rPr>
                <w:b/>
                <w:bCs/>
                <w:sz w:val="18"/>
                <w:szCs w:val="18"/>
              </w:rPr>
              <w:t xml:space="preserve">Core deliverables</w:t>
            </w:r>
          </w:p>
        </w:tc>
        <w:tc>
          <w:tcPr>
            <w:tcW w:type="dxa" w:w="2400"/>
            <w:shd w:fill="2F5496" w:color="auto" w:val="clear"/>
            <w:vAlign w:val="center"/>
          </w:tcPr>
          <w:p>
            <w:pPr>
              <w:spacing w:after="40"/>
            </w:pPr>
            <w:r>
              <w:rPr>
                <w:b/>
                <w:bCs/>
                <w:sz w:val="18"/>
                <w:szCs w:val="18"/>
              </w:rPr>
              <w:t xml:space="preserve">Suggested owner</w:t>
            </w:r>
          </w:p>
        </w:tc>
      </w:tr>
      <w:tr>
        <w:tc>
          <w:tcPr>
            <w:shd w:fill="F2F2F2" w:color="auto" w:val="clear"/>
            <w:vAlign w:val="center"/>
          </w:tcPr>
          <w:p>
            <w:pPr>
              <w:spacing w:after="40"/>
            </w:pPr>
            <w:r>
              <w:rPr>
                <w:b w:val="false"/>
                <w:bCs w:val="false"/>
                <w:sz w:val="18"/>
                <w:szCs w:val="18"/>
              </w:rPr>
              <w:t xml:space="preserve">Golden model</w:t>
            </w:r>
          </w:p>
        </w:tc>
        <w:tc>
          <w:tcPr>
            <w:shd w:fill="F2F2F2" w:color="auto" w:val="clear"/>
            <w:vAlign w:val="center"/>
          </w:tcPr>
          <w:p>
            <w:pPr>
              <w:spacing w:after="40"/>
            </w:pPr>
            <w:r>
              <w:rPr>
                <w:b w:val="false"/>
                <w:bCs w:val="false"/>
                <w:sz w:val="18"/>
                <w:szCs w:val="18"/>
              </w:rPr>
              <w:t xml:space="preserve">Python model of half-table generation (direct formula), wavefront model, and delta-caching model; bit-exact equivalence proof across all (x1,x2) segment pairs and segment-change sequences</w:t>
            </w:r>
          </w:p>
        </w:tc>
        <w:tc>
          <w:tcPr>
            <w:shd w:fill="F2F2F2" w:color="auto" w:val="clear"/>
            <w:vAlign w:val="center"/>
          </w:tcPr>
          <w:p>
            <w:pPr>
              <w:spacing w:after="40"/>
            </w:pPr>
            <w:r>
              <w:rPr>
                <w:b w:val="false"/>
                <w:bCs w:val="false"/>
                <w:sz w:val="18"/>
                <w:szCs w:val="18"/>
              </w:rPr>
              <w:t xml:space="preserve">Member A</w:t>
            </w:r>
          </w:p>
        </w:tc>
      </w:tr>
      <w:tr>
        <w:tc>
          <w:tcPr>
            <w:shd w:fill="FFFFFF" w:color="auto" w:val="clear"/>
            <w:vAlign w:val="center"/>
          </w:tcPr>
          <w:p>
            <w:pPr>
              <w:spacing w:after="40"/>
            </w:pPr>
            <w:r>
              <w:rPr>
                <w:b w:val="false"/>
                <w:bCs w:val="false"/>
                <w:sz w:val="18"/>
                <w:szCs w:val="18"/>
              </w:rPr>
              <w:t xml:space="preserve">RTL — SILG+ core</w:t>
            </w:r>
          </w:p>
        </w:tc>
        <w:tc>
          <w:tcPr>
            <w:shd w:fill="FFFFFF" w:color="auto" w:val="clear"/>
            <w:vAlign w:val="center"/>
          </w:tcPr>
          <w:p>
            <w:pPr>
              <w:spacing w:after="40"/>
            </w:pPr>
            <w:r>
              <w:rPr>
                <w:b w:val="false"/>
                <w:bCs w:val="false"/>
                <w:sz w:val="18"/>
                <w:szCs w:val="18"/>
              </w:rPr>
              <w:t xml:space="preserve">Parameterizable mesh (rows/cols, adder width), wavefront control, corner-value loader, delta-cache compare/reuse logic</w:t>
            </w:r>
          </w:p>
        </w:tc>
        <w:tc>
          <w:tcPr>
            <w:shd w:fill="FFFFFF" w:color="auto" w:val="clear"/>
            <w:vAlign w:val="center"/>
          </w:tcPr>
          <w:p>
            <w:pPr>
              <w:spacing w:after="40"/>
            </w:pPr>
            <w:r>
              <w:rPr>
                <w:b w:val="false"/>
                <w:bCs w:val="false"/>
                <w:sz w:val="18"/>
                <w:szCs w:val="18"/>
              </w:rPr>
              <w:t xml:space="preserve">Member B</w:t>
            </w:r>
          </w:p>
        </w:tc>
      </w:tr>
      <w:tr>
        <w:tc>
          <w:tcPr>
            <w:shd w:fill="F2F2F2" w:color="auto" w:val="clear"/>
            <w:vAlign w:val="center"/>
          </w:tcPr>
          <w:p>
            <w:pPr>
              <w:spacing w:after="40"/>
            </w:pPr>
            <w:r>
              <w:rPr>
                <w:b w:val="false"/>
                <w:bCs w:val="false"/>
                <w:sz w:val="18"/>
                <w:szCs w:val="18"/>
              </w:rPr>
              <w:t xml:space="preserve">RTL — gating, lanes &amp; integration</w:t>
            </w:r>
          </w:p>
        </w:tc>
        <w:tc>
          <w:tcPr>
            <w:shd w:fill="F2F2F2" w:color="auto" w:val="clear"/>
            <w:vAlign w:val="center"/>
          </w:tcPr>
          <w:p>
            <w:pPr>
              <w:spacing w:after="40"/>
            </w:pPr>
            <w:r>
              <w:rPr>
                <w:b w:val="false"/>
                <w:bCs w:val="false"/>
                <w:sz w:val="18"/>
                <w:szCs w:val="18"/>
              </w:rPr>
              <w:t xml:space="preserve">Per-cell clock gating, replicated-lane instantiation for concurrent segments, half-table/sign-flip wrapper reuse, functional sim in Xcelium</w:t>
            </w:r>
          </w:p>
        </w:tc>
        <w:tc>
          <w:tcPr>
            <w:shd w:fill="F2F2F2" w:color="auto" w:val="clear"/>
            <w:vAlign w:val="center"/>
          </w:tcPr>
          <w:p>
            <w:pPr>
              <w:spacing w:after="40"/>
            </w:pPr>
            <w:r>
              <w:rPr>
                <w:b w:val="false"/>
                <w:bCs w:val="false"/>
                <w:sz w:val="18"/>
                <w:szCs w:val="18"/>
              </w:rPr>
              <w:t xml:space="preserve">Member C</w:t>
            </w:r>
          </w:p>
        </w:tc>
      </w:tr>
      <w:tr>
        <w:tc>
          <w:tcPr>
            <w:shd w:fill="FFFFFF" w:color="auto" w:val="clear"/>
            <w:vAlign w:val="center"/>
          </w:tcPr>
          <w:p>
            <w:pPr>
              <w:spacing w:after="40"/>
            </w:pPr>
            <w:r>
              <w:rPr>
                <w:b w:val="false"/>
                <w:bCs w:val="false"/>
                <w:sz w:val="18"/>
                <w:szCs w:val="18"/>
              </w:rPr>
              <w:t xml:space="preserve">Synthesis &amp; PPA</w:t>
            </w:r>
          </w:p>
        </w:tc>
        <w:tc>
          <w:tcPr>
            <w:shd w:fill="FFFFFF" w:color="auto" w:val="clear"/>
            <w:vAlign w:val="center"/>
          </w:tcPr>
          <w:p>
            <w:pPr>
              <w:spacing w:after="40"/>
            </w:pPr>
            <w:r>
              <w:rPr>
                <w:b w:val="false"/>
                <w:bCs w:val="false"/>
                <w:sz w:val="18"/>
                <w:szCs w:val="18"/>
              </w:rPr>
              <w:t xml:space="preserve">Genus synthesis, Joules power, Innovus physical design; reproduce PALUTE’s Fig. 9 breakdown methodology; add PPLG as a second RTL baseline if time allows, for a 3-way measured comparison</w:t>
            </w:r>
          </w:p>
        </w:tc>
        <w:tc>
          <w:tcPr>
            <w:shd w:fill="FFFFFF" w:color="auto" w:val="clear"/>
            <w:vAlign w:val="center"/>
          </w:tcPr>
          <w:p>
            <w:pPr>
              <w:spacing w:after="40"/>
            </w:pPr>
            <w:r>
              <w:rPr>
                <w:b w:val="false"/>
                <w:bCs w:val="false"/>
                <w:sz w:val="18"/>
                <w:szCs w:val="18"/>
              </w:rPr>
              <w:t xml:space="preserve">Shared</w:t>
            </w:r>
          </w:p>
        </w:tc>
      </w:tr>
      <w:tr>
        <w:tc>
          <w:tcPr>
            <w:shd w:fill="F2F2F2" w:color="auto" w:val="clear"/>
            <w:vAlign w:val="center"/>
          </w:tcPr>
          <w:p>
            <w:pPr>
              <w:spacing w:after="40"/>
            </w:pPr>
            <w:r>
              <w:rPr>
                <w:b w:val="false"/>
                <w:bCs w:val="false"/>
                <w:sz w:val="18"/>
                <w:szCs w:val="18"/>
              </w:rPr>
              <w:t xml:space="preserve">FPGA bring-up</w:t>
            </w:r>
          </w:p>
        </w:tc>
        <w:tc>
          <w:tcPr>
            <w:shd w:fill="F2F2F2" w:color="auto" w:val="clear"/>
            <w:vAlign w:val="center"/>
          </w:tcPr>
          <w:p>
            <w:pPr>
              <w:spacing w:after="40"/>
            </w:pPr>
            <w:r>
              <w:rPr>
                <w:b w:val="false"/>
                <w:bCs w:val="false"/>
                <w:sz w:val="18"/>
                <w:szCs w:val="18"/>
              </w:rPr>
              <w:t xml:space="preserve">Quartus build on DE10-Lite, SignalTap capture of wavefront + gating behavior for demo/debug</w:t>
            </w:r>
          </w:p>
        </w:tc>
        <w:tc>
          <w:tcPr>
            <w:shd w:fill="F2F2F2" w:color="auto" w:val="clear"/>
            <w:vAlign w:val="center"/>
          </w:tcPr>
          <w:p>
            <w:pPr>
              <w:spacing w:after="40"/>
            </w:pPr>
            <w:r>
              <w:rPr>
                <w:b w:val="false"/>
                <w:bCs w:val="false"/>
                <w:sz w:val="18"/>
                <w:szCs w:val="18"/>
              </w:rPr>
              <w:t xml:space="preserve">Shared</w:t>
            </w:r>
          </w:p>
        </w:tc>
      </w:tr>
      <w:tr>
        <w:tc>
          <w:tcPr>
            <w:shd w:fill="FFFFFF" w:color="auto" w:val="clear"/>
            <w:vAlign w:val="center"/>
          </w:tcPr>
          <w:p>
            <w:pPr>
              <w:spacing w:after="40"/>
            </w:pPr>
            <w:r>
              <w:rPr>
                <w:b w:val="false"/>
                <w:bCs w:val="false"/>
                <w:sz w:val="18"/>
                <w:szCs w:val="18"/>
              </w:rPr>
              <w:t xml:space="preserve">Paper writing</w:t>
            </w:r>
          </w:p>
        </w:tc>
        <w:tc>
          <w:tcPr>
            <w:shd w:fill="FFFFFF" w:color="auto" w:val="clear"/>
            <w:vAlign w:val="center"/>
          </w:tcPr>
          <w:p>
            <w:pPr>
              <w:spacing w:after="40"/>
            </w:pPr>
            <w:r>
              <w:rPr>
                <w:b w:val="false"/>
                <w:bCs w:val="false"/>
                <w:sz w:val="18"/>
                <w:szCs w:val="18"/>
              </w:rPr>
              <w:t xml:space="preserve">Novelty framing (mechanism vs. implementation-level contributions), related-work positioning, 3-way results section, figures</w:t>
            </w:r>
          </w:p>
        </w:tc>
        <w:tc>
          <w:tcPr>
            <w:shd w:fill="FFFFFF" w:color="auto" w:val="clear"/>
            <w:vAlign w:val="center"/>
          </w:tcPr>
          <w:p>
            <w:pPr>
              <w:spacing w:after="40"/>
            </w:pPr>
            <w:r>
              <w:rPr>
                <w:b w:val="false"/>
                <w:bCs w:val="false"/>
                <w:sz w:val="18"/>
                <w:szCs w:val="18"/>
              </w:rPr>
              <w:t xml:space="preserve">Shared</w:t>
            </w:r>
          </w:p>
        </w:tc>
      </w:tr>
    </w:tbl>
    <w:p>
      <w:pPr>
        <w:pStyle w:val="Heading1"/>
        <w:spacing w:after="160" w:before="320"/>
      </w:pPr>
      <w:r>
        <w:t xml:space="preserve">9. Next steps</w:t>
      </w:r>
    </w:p>
    <w:p>
      <w:pPr>
        <w:pStyle w:val="ListParagraph"/>
        <w:numPr>
          <w:ilvl w:val="0"/>
          <w:numId w:val="4"/>
        </w:numPr>
        <w:spacing w:after="80"/>
      </w:pPr>
      <w:r>
        <w:t xml:space="preserve">Freeze segment length / weight width (b=2, q=4, matching PALUTE) so all comparisons line up cell-for-cell with their Table 2 / Fig. 9.</w:t>
      </w:r>
    </w:p>
    <w:p>
      <w:pPr>
        <w:pStyle w:val="ListParagraph"/>
        <w:numPr>
          <w:ilvl w:val="0"/>
          <w:numId w:val="4"/>
        </w:numPr>
        <w:spacing w:after="80"/>
      </w:pPr>
      <w:r>
        <w:t xml:space="preserve">Build and verify the golden model, including the delta-caching correlation logic.</w:t>
      </w:r>
    </w:p>
    <w:p>
      <w:pPr>
        <w:pStyle w:val="ListParagraph"/>
        <w:numPr>
          <w:ilvl w:val="0"/>
          <w:numId w:val="4"/>
        </w:numPr>
        <w:spacing w:after="80"/>
      </w:pPr>
      <w:r>
        <w:t xml:space="preserve">Start the RTL skeleton for the SILG+ core (mesh + wavefront + gating) in parallel with finishing golden-model edge cases.</w:t>
      </w:r>
    </w:p>
    <w:p>
      <w:pPr>
        <w:pStyle w:val="ListParagraph"/>
        <w:numPr>
          <w:ilvl w:val="0"/>
          <w:numId w:val="4"/>
        </w:numPr>
        <w:spacing w:after="80"/>
      </w:pPr>
      <w:r>
        <w:t xml:space="preserve">Decide, based on team bandwidth, whether to implement a measured PPLG RTL baseline for the 3-way comparison or rely on the analytical comparison in Section 5.</w:t>
      </w:r>
    </w:p>
    <w:p>
      <w:pPr>
        <w:pStyle w:val="ListParagraph"/>
        <w:numPr>
          <w:ilvl w:val="0"/>
          <w:numId w:val="4"/>
        </w:numPr>
        <w:spacing w:after="80"/>
      </w:pPr>
      <w:r>
        <w:t xml:space="preserve">Once functional RTL is verified, run the synthesis/PPA comparison and start drafting the paper's architecture and results sections around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2026-09-09T06:51:04.273Z</dcterms:created>
  <dcterms:modified xsi:type="dcterms:W3CDTF">2026-09-09T06:51:04.284Z</dcterms:modified>
</cp:coreProperties>
</file>

<file path=docProps/custom.xml><?xml version="1.0" encoding="utf-8"?>
<Properties xmlns="http://schemas.openxmlformats.org/officeDocument/2006/custom-properties" xmlns:vt="http://schemas.openxmlformats.org/officeDocument/2006/docPropsVTypes"/>
</file>