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360"/>
        <w:jc w:val="left"/>
      </w:pPr>
      <w:r>
        <w:rPr>
          <w:rFonts w:ascii="Times New Roman" w:cs="Times New Roman" w:eastAsia="Times New Roman" w:hAnsi="Times New Roman"/>
          <w:b/>
          <w:bCs/>
          <w:i w:val="false"/>
          <w:iCs w:val="false"/>
          <w:sz w:val="24"/>
          <w:szCs w:val="24"/>
        </w:rPr>
        <w:t xml:space="preserve">5.0 Conclusion</w:t>
      </w:r>
    </w:p>
    <w:p>
      <w:pPr>
        <w:pStyle w:val="Heading2"/>
        <w:spacing w:after="160" w:before="240" w:line="360"/>
        <w:jc w:val="left"/>
      </w:pPr>
      <w:r>
        <w:rPr>
          <w:rFonts w:ascii="Times New Roman" w:cs="Times New Roman" w:eastAsia="Times New Roman" w:hAnsi="Times New Roman"/>
          <w:b/>
          <w:bCs/>
          <w:i w:val="false"/>
          <w:iCs w:val="false"/>
          <w:sz w:val="24"/>
          <w:szCs w:val="24"/>
        </w:rPr>
        <w:t xml:space="preserve">5.1 Summary of Achievements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report has documented the complete development lifecycle of the IT Learning Advisor, a rule-guided conversational agent built to address a specific problem in self-directed technology education: learners rarely fail because material is unavailable, but because they cannot determine what to study, in what order, and at what pace. Section 1 established this problem in terms of information overload, lack of personalisation, and the decision fatigue that contributes to learner attrition. Section 2 situated the project within existing academic advising research, noting Dawood’s (2024) definition of genuine personalisation as recommender-based and dynamically adaptive rather than static, alongside Thottoli et al.’s (2024) finding that the field lacks a unified architectural framework. Sections 3 and 4 described how the system was designed, implemented, tested and revised in response to those two gaps.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central achievement of the project is architectural rather than merely functional. The chatbot deliberately separates decision-making from content. Production rules operate as a transparent decision layer, using the interestArea and userLevel variables extracted from natural language to determine whether a prerequisite topic must be recommended before a learner proceeds into their chosen specialisation. The Knowledge Base, comprising eight purpose-written documents, then supplies the detailed pathway information required to construct the final response, with timeCommitment applied at the generation stage to adjust the recommended pace. This division directly addresses the two-layer problem identified in the literature: the production rules impose the consistent, inspectable structure whose absence Thottoli et al. (2024) documented, while retrieval-augmented generation over a project-specific Knowledge Base delivers the situation-sensitive personalisation Dawood (2024) argued most advising chatbots fail to achieve.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system meets the objectives set out in Section 1. Testing confirmed that the prerequisite rules fire consistently and correctly: beginners interested in cybersecurity and cloud computing are routed through networking fundamentals, those interested in DevOps through Linux and command-line fundamentals, and those interested in web development through HTML, CSS and JavaScript, while learners who do not satisfy any prerequisite condition proceed directly to a Knowledge Base recommendation under the default rule. Critically, the rules discriminate on skill level as intended — an experienced practitioner is not returned to foundational material, but is instead given specialisation-appropriate guidance. The pacing mechanism was likewise verified: a learner reporting two hours of weekly availability received the same pathway redistributed across a longer schedule, together with explicit guidance to prioritise comprehension over speed.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system also demonstrated the supporting capabilities described in Section 4. Natural language understanding proved tolerant of misspellings and informal phrasing, and handled input in languages other than English, adapting its response language accordingly. Scope enforcement was reliable: out-of-domain requests were declined and redirected rather than answered speculatively. Most importantly for an educational tool, the chatbot declined to fabricate information it did not hold, advising users to consult official vendor sources for volatile details such as examination pricing rather than generating a plausible but unverified figure. For a system whose purpose is to guide study decisions, this restraint is a substantive achievement rather than a limitation.</w:t>
      </w:r>
    </w:p>
    <w:p>
      <w:pPr>
        <w:pStyle w:val="Heading2"/>
        <w:spacing w:after="160" w:before="240" w:line="360"/>
        <w:jc w:val="left"/>
      </w:pPr>
      <w:r>
        <w:rPr>
          <w:rFonts w:ascii="Times New Roman" w:cs="Times New Roman" w:eastAsia="Times New Roman" w:hAnsi="Times New Roman"/>
          <w:b/>
          <w:bCs/>
          <w:i w:val="false"/>
          <w:iCs w:val="false"/>
          <w:sz w:val="24"/>
          <w:szCs w:val="24"/>
        </w:rPr>
        <w:t xml:space="preserve">5.2 Impact of the Chatbot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potential impact of the IT Learning Advisor lies in lowering the cost of the first decision a learner must make. Human academic advisors are a finite resource, and the ratio of students to advisors continues to widen. A conversational system that is continuously available, that responds in seconds, and that produces a defensible sequence rather than an undifferentiated list of resources can absorb a meaningful share of routine pathway enquiries, reserving human advisory time for the complex cases that genuinely require it.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benefit is most pronounced for learners outside formal institutional support: self-taught students, career changers, and those in regions where structured IT career guidance is not readily accessible. Because the system’s reasoning is encoded as explicit IF–THEN rules, its recommendations can be explained and audited rather than merely accepted, which matters when a learner is being asked to commit months of effort to a suggested sequence. The demonstrated tolerance of non-English and imperfectly written input further widens accessibility to learners who would be disadvantaged by a system requiring precise English phrasing.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More broadly, the project offers a transferable architectural pattern. Any advisory domain in which recommendations depend on prerequisite ordering — academic course selection, professional certification planning, structured skills development — could adopt the same separation of a rule-based decision layer from a retrieval-based content layer, updating the rules and the knowledge documents independently as the domain evolves.</w:t>
      </w:r>
    </w:p>
    <w:p>
      <w:pPr>
        <w:pStyle w:val="Heading2"/>
        <w:spacing w:after="160" w:before="240" w:line="360"/>
        <w:jc w:val="left"/>
      </w:pPr>
      <w:r>
        <w:rPr>
          <w:rFonts w:ascii="Times New Roman" w:cs="Times New Roman" w:eastAsia="Times New Roman" w:hAnsi="Times New Roman"/>
          <w:b/>
          <w:bCs/>
          <w:i w:val="false"/>
          <w:iCs w:val="false"/>
          <w:sz w:val="24"/>
          <w:szCs w:val="24"/>
        </w:rPr>
        <w:t xml:space="preserve">5.3 Future Work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Several avenues for further development were identified during testing. The most immediate is the expansion and systematic verification of recommended learning resources. Educational value depends heavily on the quality of the materials suggested, and resource links and certification version codes require scheduled review to prevent learners being directed towards superseded content.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Second, the profiling stage could be strengthened. The timeCommitment variable meaningfully improves the resulting plan when the learner supplies it, so eliciting it consistently rather than opportunistically would benefit a wider proportion of users. The related improvement is to infer profile attributes from context already provided, so that learners are not asked to restate information they have already given.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Third, the system currently concludes each interaction without an onward path. Adding a referral to human advisory support, and introducing progress tracking across sessions so that returning learners resume rather than restart, would transform the chatbot from a single-consultation tool into a sustained learning companion.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Finally, the knowledge representation itself could be extended. The present rule set encodes prerequisite relationships as discrete conditions; representing them instead as an explicit prerequisite graph would allow the system to reason over multi-step dependency chains and to generate pathways for domain combinations not anticipated during design.</w:t>
      </w:r>
    </w:p>
    <w:p>
      <w:pPr>
        <w:pStyle w:val="Heading2"/>
        <w:spacing w:after="160" w:before="240" w:line="360"/>
        <w:jc w:val="left"/>
      </w:pPr>
      <w:r>
        <w:rPr>
          <w:rFonts w:ascii="Times New Roman" w:cs="Times New Roman" w:eastAsia="Times New Roman" w:hAnsi="Times New Roman"/>
          <w:b/>
          <w:bCs/>
          <w:i w:val="false"/>
          <w:iCs w:val="false"/>
          <w:sz w:val="24"/>
          <w:szCs w:val="24"/>
        </w:rPr>
        <w:t xml:space="preserve">5.4 Final Thoughts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most valuable lesson from this project concerns the relationship between structure and flexibility. Early iterations relied heavily on instructing the language model in natural language, which produced inconsistent behaviour: the chatbot occasionally bypassed its own conversation flow, and its fallback responses did not reliably follow the defined instructions. These problems were resolved not by writing longer instructions, but by enforcing the required behaviour structurally — making the clarification step a mandatory node, and routing low-confidence queries to a single explicit fallback. The general principle is that where behaviour must be guaranteed, it should be encoded in the architecture; where variation is desirable, a language model can be permitted to operate freely. Written instructions alone are a weak mechanism for enforcing rules.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second lesson concerns the value of adversarial testing. The most instructive failures — unrecognised paraphrases, aggregate queries the retrieval logic could not match, and malfunctioning fallback behaviour — surfaced only when the system was tested with input it was not designed to expect. Testing with realistic and deliberately awkward input, rather than with the phrasings the developers had in mind, proved considerably more informative than confirmatory testing.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Both lessons are directly transferable. Future conversational systems developed by this team will begin by identifying which behaviours are non-negotiable and encoding those structurally from the outset, and will treat systematic adversarial testing as a core development activity rather than a final verification step.</w:t>
      </w:r>
    </w:p>
    <w:p>
      <w:pPr>
        <w:spacing w:after="320" w:before="320" w:line="360"/>
        <w:jc w:val="left"/>
      </w:pPr>
      <w:r>
        <w:rPr>
          <w:rFonts w:ascii="Times New Roman" w:cs="Times New Roman" w:eastAsia="Times New Roman" w:hAnsi="Times New Roman"/>
          <w:b w:val="false"/>
          <w:bCs w:val="false"/>
          <w:i/>
          <w:iCs/>
          <w:sz w:val="24"/>
          <w:szCs w:val="24"/>
        </w:rPr>
        <w:t xml:space="preserve">Word count (Section 5): 1164 words</w:t>
      </w:r>
    </w:p>
    <w:p>
      <w:pPr>
        <w:pStyle w:val="Heading1"/>
        <w:spacing w:after="240" w:before="0" w:line="360"/>
        <w:jc w:val="left"/>
      </w:pPr>
      <w:r>
        <w:rPr>
          <w:rFonts w:ascii="Times New Roman" w:cs="Times New Roman" w:eastAsia="Times New Roman" w:hAnsi="Times New Roman"/>
          <w:b/>
          <w:bCs/>
          <w:i w:val="false"/>
          <w:iCs w:val="false"/>
          <w:sz w:val="24"/>
          <w:szCs w:val="24"/>
        </w:rPr>
        <w:t xml:space="preserve">References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Dawood, M. (2024). Assessing the effectiveness of chatbots in providing personalized academic advising and support to higher education students: A narrative literature review. </w:t>
      </w:r>
      <w:r>
        <w:rPr>
          <w:rFonts w:ascii="Times New Roman" w:cs="Times New Roman" w:eastAsia="Times New Roman" w:hAnsi="Times New Roman"/>
          <w:b w:val="false"/>
          <w:bCs w:val="false"/>
          <w:i/>
          <w:iCs/>
          <w:sz w:val="24"/>
          <w:szCs w:val="24"/>
        </w:rPr>
        <w:t xml:space="preserve">Studies in Technology Enhanced Learning, 4</w:t>
      </w:r>
      <w:r>
        <w:rPr>
          <w:rFonts w:ascii="Times New Roman" w:cs="Times New Roman" w:eastAsia="Times New Roman" w:hAnsi="Times New Roman"/>
          <w:b w:val="false"/>
          <w:bCs w:val="false"/>
          <w:i w:val="false"/>
          <w:iCs w:val="false"/>
          <w:sz w:val="24"/>
          <w:szCs w:val="24"/>
        </w:rPr>
        <w:t xml:space="preserve">(1). https://doi.org/10.21428/8c225f6e.7140f8f4</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Thottoli, M. M., Alruqaishi, B. H., &amp; Soosaimanickam, A. (2024). Robo academic advisor: Can chatbots and artificial intelligence replace human interaction? </w:t>
      </w:r>
      <w:r>
        <w:rPr>
          <w:rFonts w:ascii="Times New Roman" w:cs="Times New Roman" w:eastAsia="Times New Roman" w:hAnsi="Times New Roman"/>
          <w:b w:val="false"/>
          <w:bCs w:val="false"/>
          <w:i/>
          <w:iCs/>
          <w:sz w:val="24"/>
          <w:szCs w:val="24"/>
        </w:rPr>
        <w:t xml:space="preserve">Contemporary Educational Technology, 16</w:t>
      </w:r>
      <w:r>
        <w:rPr>
          <w:rFonts w:ascii="Times New Roman" w:cs="Times New Roman" w:eastAsia="Times New Roman" w:hAnsi="Times New Roman"/>
          <w:b w:val="false"/>
          <w:bCs w:val="false"/>
          <w:i w:val="false"/>
          <w:iCs w:val="false"/>
          <w:sz w:val="24"/>
          <w:szCs w:val="24"/>
        </w:rPr>
        <w:t xml:space="preserve">(1), ep485. https://doi.org/10.30935/cedtech/13498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2026-08-15T13:31:07.894Z</dcterms:created>
  <dcterms:modified xsi:type="dcterms:W3CDTF">2026-08-15T13:31:07.894Z</dcterms:modified>
</cp:coreProperties>
</file>

<file path=docProps/custom.xml><?xml version="1.0" encoding="utf-8"?>
<Properties xmlns="http://schemas.openxmlformats.org/officeDocument/2006/custom-properties" xmlns:vt="http://schemas.openxmlformats.org/officeDocument/2006/docPropsVTypes"/>
</file>