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0" w:line="360"/>
        <w:jc w:val="left"/>
      </w:pPr>
      <w:r>
        <w:rPr>
          <w:rFonts w:ascii="Times New Roman" w:cs="Times New Roman" w:eastAsia="Times New Roman" w:hAnsi="Times New Roman"/>
          <w:b/>
          <w:bCs/>
          <w:i w:val="false"/>
          <w:iCs w:val="false"/>
          <w:sz w:val="24"/>
          <w:szCs w:val="24"/>
        </w:rPr>
        <w:t xml:space="preserve">5.0 Conclusion</w:t>
      </w:r>
    </w:p>
    <w:p>
      <w:pPr>
        <w:pStyle w:val="Heading2"/>
        <w:spacing w:after="160" w:before="240" w:line="360"/>
        <w:jc w:val="left"/>
      </w:pPr>
      <w:r>
        <w:rPr>
          <w:rFonts w:ascii="Times New Roman" w:cs="Times New Roman" w:eastAsia="Times New Roman" w:hAnsi="Times New Roman"/>
          <w:b/>
          <w:bCs/>
          <w:i w:val="false"/>
          <w:iCs w:val="false"/>
          <w:sz w:val="24"/>
          <w:szCs w:val="24"/>
        </w:rPr>
        <w:t xml:space="preserve">5.1 Summary of Achievements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This report has documented the complete development lifecycle of the IT Learning Advisor, a rule-guided conversational agent built to address a specific problem in self-directed technology education: learners rarely fail because material is unavailable, but because they cannot determine what to study, in what order, and at what pace. Section 1 established this problem in terms of information overload, lack of personalisation, and the decision fatigue that contributes to learner attrition. Section 2 situated the project within existing academic advising research, noting Dawood’s (2024) definition of genuine personalisation as recommender-based and dynamically adaptive rather than static, alongside Thottoli et al.’s (2024) finding that the field lacks a unified architectural framework. Sections 3 and 4 described how the system was designed, implemented, tested and revised in response to those two gaps.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The central achievement of the project is architectural rather than merely functional. The chatbot deliberately separates decision-making from content. Production rules operate as a transparent decision layer, using the interestArea and userLevel variables extracted from natural language to determine whether a prerequisite topic must be recommended before a learner proceeds into their chosen specialisation. The Knowledge Base, comprising eight purpose-written documents, then supplies the detailed pathway information required to construct the final response, with timeCommitment applied at the generation stage to adjust the recommended pace. This division directly addresses the two-layer problem identified in the literature: the production rules impose the consistent, inspectable structure whose absence Thottoli et al. (2024) documented, while retrieval-augmented generation over a project-specific Knowledge Base delivers the situation-sensitive personalisation Dawood (2024) argued most advising chatbots fail to achieve.</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The system meets the objectives set out in Section 1. Testing confirmed that the prerequisite rules fire consistently and correctly: beginners interested in cybersecurity and cloud computing are routed through networking fundamentals, those interested in DevOps through Linux and command-line fundamentals, and those interested in web development through HTML, CSS and JavaScript, while learners who do not satisfy any prerequisite condition proceed directly to a Knowledge Base recommendation under the default rule. Critically, the rules discriminate on skill level as intended — an experienced practitioner is not returned to foundational material, but is instead given specialisation-appropriate guidance. The pacing mechanism was likewise verified: a learner reporting two hours of weekly availability received the same pathway redistributed across a longer schedule, together with explicit guidance to prioritise comprehension over speed.</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The system also demonstrated the supporting capabilities described in Section 4. Natural language understanding proved tolerant of misspellings and informal phrasing, and handled input in languages other than English, adapting its response language accordingly. Scope enforcement was reliable: out-of-domain requests were declined and redirected rather than answered speculatively. Most importantly for an educational tool, the chatbot declined to fabricate information it did not hold, advising users to consult official vendor sources for volatile details such as examination pricing rather than generating a plausible but unverified figure. For a system whose purpose is to guide study decisions, this restraint is a substantive achievement rather than a limitation.</w:t>
      </w:r>
    </w:p>
    <w:p>
      <w:pPr>
        <w:pStyle w:val="Heading2"/>
        <w:spacing w:after="160" w:before="240" w:line="360"/>
        <w:jc w:val="left"/>
      </w:pPr>
      <w:r>
        <w:rPr>
          <w:rFonts w:ascii="Times New Roman" w:cs="Times New Roman" w:eastAsia="Times New Roman" w:hAnsi="Times New Roman"/>
          <w:b/>
          <w:bCs/>
          <w:i w:val="false"/>
          <w:iCs w:val="false"/>
          <w:sz w:val="24"/>
          <w:szCs w:val="24"/>
        </w:rPr>
        <w:t xml:space="preserve">5.2 Impact of the Chatbot</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The potential impact of the IT Learning Advisor lies in lowering the cost of the first decision a learner must make. Human academic advisors are a finite resource, and the ratio of students to advisors continues to widen. A conversational system that is continuously available, that responds in seconds, and that produces a defensible sequence rather than an undifferentiated list of resources can absorb a meaningful share of routine pathway enquiries, reserving human advisory time for the complex cases that genuinely require it.</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The benefit is most pronounced for learners outside formal institutional support: self-taught students, career changers, and those in regions where structured IT career guidance is not readily accessible. Because the system’s reasoning is encoded as explicit IF–THEN rules, its recommendations can be explained and audited rather than merely accepted, which matters when a learner is being asked to commit months of effort to a suggested sequence. The demonstrated tolerance of non-English and imperfectly written input further widens accessibility to learners who would be disadvantaged by a system requiring precise English phrasing.</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More broadly, the project offers a transferable architectural pattern. Any advisory domain in which recommendations depend on prerequisite ordering — academic course selection, professional certification planning, structured skills development — could adopt the same separation of a rule-based decision layer from a retrieval-based content layer, updating the rules and the knowledge documents independently as the domain evolves.</w:t>
      </w:r>
    </w:p>
    <w:p>
      <w:pPr>
        <w:pStyle w:val="Heading2"/>
        <w:spacing w:after="160" w:before="240" w:line="360"/>
        <w:jc w:val="left"/>
      </w:pPr>
      <w:r>
        <w:rPr>
          <w:rFonts w:ascii="Times New Roman" w:cs="Times New Roman" w:eastAsia="Times New Roman" w:hAnsi="Times New Roman"/>
          <w:b/>
          <w:bCs/>
          <w:i w:val="false"/>
          <w:iCs w:val="false"/>
          <w:sz w:val="24"/>
          <w:szCs w:val="24"/>
        </w:rPr>
        <w:t xml:space="preserve">5.3 Future Work</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Several avenues for further development were identified during testing. The most immediate is the expansion and systematic verification of recommended learning resources. Educational value depends heavily on the quality of the materials suggested, and resource links and certification version codes require scheduled review to prevent learners being directed towards superseded content.</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Second, the profiling stage could be strengthened. The timeCommitment variable meaningfully improves the resulting plan when the learner supplies it, so eliciting it consistently rather than opportunistically would benefit a wider proportion of users. The related improvement is to infer profile attributes from context already provided, so that learners are not asked to restate information they have already given.</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Third, the system currently concludes each interaction without an onward path. Adding a referral to human advisory support, and introducing progress tracking across sessions so that returning learners resume rather than restart, would transform the chatbot from a single-consultation tool into a sustained learning companion.</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Finally, the knowledge representation itself could be extended. The present rule set encodes prerequisite relationships as discrete conditions; representing them instead as an explicit prerequisite graph would allow the system to reason over multi-step dependency chains and to generate pathways for domain combinations not anticipated during design.</w:t>
      </w:r>
    </w:p>
    <w:p>
      <w:pPr>
        <w:pStyle w:val="Heading2"/>
        <w:spacing w:after="160" w:before="240" w:line="360"/>
        <w:jc w:val="left"/>
      </w:pPr>
      <w:r>
        <w:rPr>
          <w:rFonts w:ascii="Times New Roman" w:cs="Times New Roman" w:eastAsia="Times New Roman" w:hAnsi="Times New Roman"/>
          <w:b/>
          <w:bCs/>
          <w:i w:val="false"/>
          <w:iCs w:val="false"/>
          <w:sz w:val="24"/>
          <w:szCs w:val="24"/>
        </w:rPr>
        <w:t xml:space="preserve">5.4 Final Thoughts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The most valuable lesson from this project concerns the relationship between structure and flexibility. Early iterations relied heavily on instructing the language model in natural language, which produced inconsistent behaviour: the chatbot occasionally bypassed its own conversation flow, and its fallback responses did not reliably follow the defined instructions. These problems were resolved not by writing longer instructions, but by enforcing the required behaviour structurally — making the clarification step a mandatory node, and routing low-confidence queries to a single explicit fallback. The general principle is that where behaviour must be guaranteed, it should be encoded in the architecture; where variation is desirable, a language model can be permitted to operate freely. Written instructions alone are a weak mechanism for enforcing rules.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A second lesson concerns the value of adversarial testing. The most instructive failures — unrecognised paraphrases, aggregate queries the retrieval logic could not match, and malfunctioning fallback behaviour — surfaced only when the system was tested with input it was not designed to expect. Testing with realistic and deliberately awkward input, rather than with the phrasings the developers had in mind, proved considerably more informative than confirmatory testing.</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Both lessons are directly transferable. Future conversational systems developed by this team will begin by identifying which behaviours are non-negotiable and encoding those structurally from the outset, and will treat systematic adversarial testing as a core development activity rather than a final verification step.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2026-08-15T13:33:02.147Z</dcterms:created>
  <dcterms:modified xsi:type="dcterms:W3CDTF">2026-08-15T13:33:02.147Z</dcterms:modified>
</cp:coreProperties>
</file>

<file path=docProps/custom.xml><?xml version="1.0" encoding="utf-8"?>
<Properties xmlns="http://schemas.openxmlformats.org/officeDocument/2006/custom-properties" xmlns:vt="http://schemas.openxmlformats.org/officeDocument/2006/docPropsVTypes"/>
</file>