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b/>
          <w:sz w:val="24"/>
        </w:rPr>
        <w:t>DATE:</w:t>
        <w:tab/>
        <w:tab/>
        <w:tab/>
        <w:tab/>
        <w:tab/>
        <w:tab/>
        <w:tab/>
        <w:tab/>
        <w:tab/>
        <w:t>EXPT NO:04</w:t>
      </w:r>
    </w:p>
    <w:p>
      <w:pPr>
        <w:spacing w:before="0" w:after="240" w:line="276" w:lineRule="auto"/>
        <w:jc w:val="center"/>
      </w:pPr>
      <w:r>
        <w:rPr>
          <w:rFonts w:ascii="Times New Roman" w:hAnsi="Times New Roman"/>
          <w:b/>
          <w:i w:val="0"/>
          <w:color w:val="000000"/>
          <w:sz w:val="28"/>
        </w:rPr>
        <w:t>DATA VISUALIZATION</w:t>
      </w:r>
    </w:p>
    <w:p>
      <w:pPr>
        <w:spacing w:before="0" w:after="80" w:line="276" w:lineRule="auto"/>
        <w:jc w:val="left"/>
      </w:pPr>
      <w:r>
        <w:rPr>
          <w:rFonts w:ascii="Times New Roman" w:hAnsi="Times New Roman"/>
          <w:b/>
          <w:i w:val="0"/>
          <w:color w:val="000000"/>
          <w:sz w:val="24"/>
        </w:rPr>
        <w:t>AIM:</w:t>
      </w:r>
    </w:p>
    <w:p>
      <w:pPr>
        <w:spacing w:before="0" w:after="240" w:line="276" w:lineRule="auto"/>
        <w:jc w:val="left"/>
      </w:pPr>
      <w:r>
        <w:rPr>
          <w:rFonts w:ascii="Times New Roman" w:hAnsi="Times New Roman"/>
          <w:b w:val="0"/>
          <w:i w:val="0"/>
          <w:color w:val="000000"/>
          <w:sz w:val="24"/>
        </w:rPr>
        <w:t>To visualize the Earthquake dataset using Python and create different charts to understand earthquake patterns, magnitude distributions, and identify important geographic features.</w:t>
      </w:r>
    </w:p>
    <w:p>
      <w:pPr>
        <w:spacing w:before="0" w:after="80" w:line="276" w:lineRule="auto"/>
        <w:jc w:val="left"/>
      </w:pPr>
      <w:r>
        <w:rPr>
          <w:rFonts w:ascii="Times New Roman" w:hAnsi="Times New Roman"/>
          <w:b/>
          <w:i w:val="0"/>
          <w:color w:val="000000"/>
          <w:sz w:val="24"/>
        </w:rPr>
        <w:t>PROCEDURE:</w:t>
      </w:r>
    </w:p>
    <w:p>
      <w:pPr>
        <w:spacing w:before="0" w:after="40" w:line="276" w:lineRule="auto"/>
        <w:jc w:val="left"/>
      </w:pPr>
      <w:r>
        <w:rPr>
          <w:rFonts w:ascii="Times New Roman" w:hAnsi="Times New Roman"/>
          <w:b w:val="0"/>
          <w:i w:val="0"/>
          <w:color w:val="000000"/>
          <w:sz w:val="24"/>
        </w:rPr>
        <w:t>1. Start the program.</w:t>
      </w:r>
    </w:p>
    <w:p>
      <w:pPr>
        <w:spacing w:before="0" w:after="40" w:line="276" w:lineRule="auto"/>
        <w:jc w:val="left"/>
      </w:pPr>
      <w:r>
        <w:rPr>
          <w:rFonts w:ascii="Times New Roman" w:hAnsi="Times New Roman"/>
          <w:b w:val="0"/>
          <w:i w:val="0"/>
          <w:color w:val="000000"/>
          <w:sz w:val="24"/>
        </w:rPr>
        <w:t>2. Import Pandas, Matplotlib, and Seaborn libraries.</w:t>
      </w:r>
    </w:p>
    <w:p>
      <w:pPr>
        <w:spacing w:before="0" w:after="40" w:line="276" w:lineRule="auto"/>
        <w:jc w:val="left"/>
      </w:pPr>
      <w:r>
        <w:rPr>
          <w:rFonts w:ascii="Times New Roman" w:hAnsi="Times New Roman"/>
          <w:b w:val="0"/>
          <w:i w:val="0"/>
          <w:color w:val="000000"/>
          <w:sz w:val="24"/>
        </w:rPr>
        <w:t>3. Load the Earthquake CSV dataset.</w:t>
      </w:r>
    </w:p>
    <w:p>
      <w:pPr>
        <w:spacing w:before="0" w:after="40" w:line="276" w:lineRule="auto"/>
        <w:jc w:val="left"/>
      </w:pPr>
      <w:r>
        <w:rPr>
          <w:rFonts w:ascii="Times New Roman" w:hAnsi="Times New Roman"/>
          <w:b w:val="0"/>
          <w:i w:val="0"/>
          <w:color w:val="000000"/>
          <w:sz w:val="24"/>
        </w:rPr>
        <w:t>4. Display the first few records using head().</w:t>
      </w:r>
    </w:p>
    <w:p>
      <w:pPr>
        <w:spacing w:before="0" w:after="40" w:line="276" w:lineRule="auto"/>
        <w:jc w:val="left"/>
      </w:pPr>
      <w:r>
        <w:rPr>
          <w:rFonts w:ascii="Times New Roman" w:hAnsi="Times New Roman"/>
          <w:b w:val="0"/>
          <w:i w:val="0"/>
          <w:color w:val="000000"/>
          <w:sz w:val="24"/>
        </w:rPr>
        <w:t>5. Create a bar chart to compare seismic events based on magnitude.</w:t>
      </w:r>
    </w:p>
    <w:p>
      <w:pPr>
        <w:spacing w:before="0" w:after="40" w:line="276" w:lineRule="auto"/>
        <w:jc w:val="left"/>
      </w:pPr>
      <w:r>
        <w:rPr>
          <w:rFonts w:ascii="Times New Roman" w:hAnsi="Times New Roman"/>
          <w:b w:val="0"/>
          <w:i w:val="0"/>
          <w:color w:val="000000"/>
          <w:sz w:val="24"/>
        </w:rPr>
        <w:t>6. Create a box plot to show the distribution of earthquake magnitudes.</w:t>
      </w:r>
    </w:p>
    <w:p>
      <w:pPr>
        <w:spacing w:before="0" w:after="40" w:line="276" w:lineRule="auto"/>
        <w:jc w:val="left"/>
      </w:pPr>
      <w:r>
        <w:rPr>
          <w:rFonts w:ascii="Times New Roman" w:hAnsi="Times New Roman"/>
          <w:b w:val="0"/>
          <w:i w:val="0"/>
          <w:color w:val="000000"/>
          <w:sz w:val="24"/>
        </w:rPr>
        <w:t>7. Create a line chart to analyze seismic trends across recorded events.</w:t>
      </w:r>
    </w:p>
    <w:p>
      <w:pPr>
        <w:spacing w:before="0" w:after="40" w:line="276" w:lineRule="auto"/>
        <w:jc w:val="left"/>
      </w:pPr>
      <w:r>
        <w:rPr>
          <w:rFonts w:ascii="Times New Roman" w:hAnsi="Times New Roman"/>
          <w:b w:val="0"/>
          <w:i w:val="0"/>
          <w:color w:val="000000"/>
          <w:sz w:val="24"/>
        </w:rPr>
        <w:t>8. Add suitable titles, axis labels, and legends.</w:t>
      </w:r>
    </w:p>
    <w:p>
      <w:pPr>
        <w:spacing w:before="0" w:after="40" w:line="276" w:lineRule="auto"/>
        <w:jc w:val="left"/>
      </w:pPr>
      <w:r>
        <w:rPr>
          <w:rFonts w:ascii="Times New Roman" w:hAnsi="Times New Roman"/>
          <w:b w:val="0"/>
          <w:i w:val="0"/>
          <w:color w:val="000000"/>
          <w:sz w:val="24"/>
        </w:rPr>
        <w:t>9. Display all the visualizations.</w:t>
      </w:r>
    </w:p>
    <w:p>
      <w:pPr>
        <w:spacing w:before="0" w:after="40" w:line="276" w:lineRule="auto"/>
        <w:jc w:val="left"/>
      </w:pPr>
      <w:r>
        <w:rPr>
          <w:rFonts w:ascii="Times New Roman" w:hAnsi="Times New Roman"/>
          <w:b w:val="0"/>
          <w:i w:val="0"/>
          <w:color w:val="000000"/>
          <w:sz w:val="24"/>
        </w:rPr>
        <w:t>10. Analyze the graphs and identify important patterns.</w:t>
      </w:r>
    </w:p>
    <w:p>
      <w:pPr>
        <w:spacing w:before="0" w:after="40" w:line="276" w:lineRule="auto"/>
        <w:jc w:val="left"/>
      </w:pPr>
      <w:r>
        <w:rPr>
          <w:rFonts w:ascii="Times New Roman" w:hAnsi="Times New Roman"/>
          <w:b w:val="0"/>
          <w:i w:val="0"/>
          <w:color w:val="000000"/>
          <w:sz w:val="24"/>
        </w:rPr>
        <w:t>11. Stop the program.</w:t>
      </w:r>
    </w:p>
    <w:p>
      <w:pPr>
        <w:spacing w:before="240" w:after="80" w:line="276" w:lineRule="auto"/>
        <w:jc w:val="left"/>
      </w:pPr>
      <w:r>
        <w:rPr>
          <w:rFonts w:ascii="Times New Roman" w:hAnsi="Times New Roman"/>
          <w:b/>
          <w:i w:val="0"/>
          <w:color w:val="000000"/>
          <w:sz w:val="24"/>
        </w:rPr>
        <w:t>CODE:</w:t>
      </w:r>
    </w:p>
    <w:p>
      <w:pPr>
        <w:spacing w:before="0" w:after="240" w:line="276" w:lineRule="auto"/>
        <w:jc w:val="left"/>
      </w:pPr>
      <w:r>
        <w:rPr>
          <w:rFonts w:ascii="Courier New" w:hAnsi="Courier New"/>
          <w:b w:val="0"/>
          <w:i w:val="0"/>
          <w:color w:val="000000"/>
          <w:sz w:val="19"/>
        </w:rPr>
        <w:t>import pandas as pd</w:t>
        <w:br/>
        <w:t>import matplotlib.pyplot as plt</w:t>
        <w:br/>
        <w:t>import seaborn as sns</w:t>
        <w:br/>
        <w:br/>
        <w:t># Load dataset</w:t>
        <w:br/>
        <w:t>df = pd.read_csv("earthquake_data.csv")</w:t>
        <w:br/>
        <w:br/>
        <w:t># Select numerical columns</w:t>
        <w:br/>
        <w:t>num_cols = df.select_dtypes(include="number").columns</w:t>
        <w:br/>
        <w:t>print("Numerical columns:", num_cols.tolist())</w:t>
        <w:br/>
        <w:br/>
        <w:t># BAR CHART</w:t>
        <w:br/>
        <w:t>plt.figure(figsize=(8, 5))</w:t>
        <w:br/>
        <w:t>df[num_cols[0]].value_counts().head(10).plot(kind="bar")</w:t>
        <w:br/>
        <w:t>plt.title("Bar Chart")</w:t>
        <w:br/>
        <w:t>plt.xlabel(num_cols[0])</w:t>
        <w:br/>
        <w:t>plt.ylabel("Count")</w:t>
        <w:br/>
        <w:t>plt.show()</w:t>
        <w:br/>
        <w:br/>
        <w:t># BOX PLOT</w:t>
        <w:br/>
        <w:t>plt.figure(figsize=(8, 5))</w:t>
        <w:br/>
        <w:t>sns.boxplot(x=df[num_cols[0]])</w:t>
        <w:br/>
        <w:t>plt.title("Box Plot")</w:t>
        <w:br/>
        <w:t>plt.xlabel(num_cols[0])</w:t>
        <w:br/>
        <w:t>plt.show()</w:t>
        <w:br/>
        <w:br/>
        <w:t># LINE CHART</w:t>
        <w:br/>
        <w:t>plt.figure(figsize=(8, 5))</w:t>
        <w:br/>
        <w:t>plt.plot(df[num_cols[0]].head(20), marker="o")</w:t>
        <w:br/>
        <w:t>plt.title("Line Chart")</w:t>
        <w:br/>
        <w:t>plt.xlabel("Earthquake Event")</w:t>
        <w:br/>
        <w:t>plt.ylabel(num_cols[0])</w:t>
        <w:br/>
        <w:t>plt.grid()</w:t>
        <w:br/>
        <w:t>plt.show()</w:t>
      </w:r>
    </w:p>
    <w:p>
      <w:pPr>
        <w:spacing w:before="0" w:after="80" w:line="276" w:lineRule="auto"/>
        <w:jc w:val="left"/>
      </w:pPr>
      <w:r>
        <w:rPr>
          <w:rFonts w:ascii="Times New Roman" w:hAnsi="Times New Roman"/>
          <w:b/>
          <w:i w:val="0"/>
          <w:color w:val="000000"/>
          <w:sz w:val="24"/>
        </w:rPr>
        <w:t>OUTPUT:</w:t>
      </w:r>
    </w:p>
    <w:p>
      <w:pPr>
        <w:spacing w:before="0" w:after="240" w:line="276" w:lineRule="auto"/>
        <w:jc w:val="left"/>
      </w:pPr>
      <w:r>
        <w:rPr>
          <w:rFonts w:ascii="Courier New" w:hAnsi="Courier New"/>
          <w:b w:val="0"/>
          <w:i w:val="0"/>
          <w:color w:val="000000"/>
          <w:sz w:val="19"/>
        </w:rPr>
        <w:t>Columns:</w:t>
        <w:br/>
        <w:t>['title', 'magnitude', 'date_time', 'cdi', 'mmi', 'alert', 'tsunami', 'sig', 'net', 'nst', 'dmin', 'gap', 'magType', 'depth', 'latitude', 'longitude', 'location', 'continent', 'country']</w:t>
        <w:br/>
        <w:br/>
        <w:t>Numerical columns: ['magnitude', 'cdi', 'mmi', 'tsunami', 'sig', 'nst', 'dmin', 'gap', 'depth', 'latitude', 'longitude']</w:t>
        <w:br/>
        <w:br/>
        <w:t>First 5 Records:</w:t>
        <w:br/>
        <w:t xml:space="preserve">                                          title  magnitude         date_time  cdi  mmi  alert  tsunami  sig net  nst   dmin   gap magType    depth  latitude  longitude                  location continent          country</w:t>
        <w:br/>
        <w:t>0  M 7.0 - 18 km SW of Malango, Solomon Islands        7.0  22-11-2022 02:03    8    7  green        1  768  us  117  0.509  17.0     mww   14.000   -9.7963    159.596  Malango, Solomon Islands   Oceania  Solomon Islands</w:t>
        <w:br/>
        <w:t>1      M 6.9 - 204 km SW of Bengkulu, Indonesia        6.9  18-11-2022 13:37    4    4  green        0  735  us   99  2.229  34.0     mww   25.000   -4.9559    100.738       Bengkulu, Indonesia       NaN              NaN</w:t>
        <w:br/>
        <w:t>2                                      M 7.0 -         7.0  12-11-2022 07:09    3    3  green        1  755  us  147  3.125  18.0     mww  579.000  -20.0508   -178.346                       NaN   Oceania             Fiji</w:t>
        <w:br/>
        <w:t>3           M 7.3 - 205 km ESE of Neiafu, Tonga        7.3  11-11-2022 10:48    5    5  green        1  833  us  149  1.865  21.0     mww   37.000  -19.2918   -172.129             Neiafu, Tonga       NaN              NaN</w:t>
        <w:br/>
        <w:t>4                                      M 6.6 -         6.6  09-11-2022 10:14    0    2  green        1  670  us  131  4.998  27.0     mww  624.464  -25.5948    178.278                       NaN       NaN              NaN</w:t>
      </w:r>
    </w:p>
    <w:p>
      <w:pPr>
        <w:spacing w:before="120" w:after="240"/>
        <w:jc w:val="center"/>
      </w:pPr>
      <w:r>
        <w:drawing>
          <wp:inline xmlns:a="http://schemas.openxmlformats.org/drawingml/2006/main" xmlns:pic="http://schemas.openxmlformats.org/drawingml/2006/picture">
            <wp:extent cx="5029200" cy="3143250"/>
            <wp:docPr id="1" name="Picture 1"/>
            <wp:cNvGraphicFramePr>
              <a:graphicFrameLocks noChangeAspect="1"/>
            </wp:cNvGraphicFramePr>
            <a:graphic>
              <a:graphicData uri="http://schemas.openxmlformats.org/drawingml/2006/picture">
                <pic:pic>
                  <pic:nvPicPr>
                    <pic:cNvPr id="0" name="chart_scatter.png"/>
                    <pic:cNvPicPr/>
                  </pic:nvPicPr>
                  <pic:blipFill>
                    <a:blip r:embed="rId9"/>
                    <a:stretch>
                      <a:fillRect/>
                    </a:stretch>
                  </pic:blipFill>
                  <pic:spPr>
                    <a:xfrm>
                      <a:off x="0" y="0"/>
                      <a:ext cx="5029200" cy="3143250"/>
                    </a:xfrm>
                    <a:prstGeom prst="rect"/>
                  </pic:spPr>
                </pic:pic>
              </a:graphicData>
            </a:graphic>
          </wp:inline>
        </w:drawing>
      </w:r>
    </w:p>
    <w:p>
      <w:pPr>
        <w:spacing w:before="120" w:after="240"/>
        <w:jc w:val="center"/>
      </w:pPr>
      <w:r>
        <w:drawing>
          <wp:inline xmlns:a="http://schemas.openxmlformats.org/drawingml/2006/main" xmlns:pic="http://schemas.openxmlformats.org/drawingml/2006/picture">
            <wp:extent cx="5029200" cy="3143250"/>
            <wp:docPr id="2" name="Picture 2"/>
            <wp:cNvGraphicFramePr>
              <a:graphicFrameLocks noChangeAspect="1"/>
            </wp:cNvGraphicFramePr>
            <a:graphic>
              <a:graphicData uri="http://schemas.openxmlformats.org/drawingml/2006/picture">
                <pic:pic>
                  <pic:nvPicPr>
                    <pic:cNvPr id="0" name="chart_bar.png"/>
                    <pic:cNvPicPr/>
                  </pic:nvPicPr>
                  <pic:blipFill>
                    <a:blip r:embed="rId10"/>
                    <a:stretch>
                      <a:fillRect/>
                    </a:stretch>
                  </pic:blipFill>
                  <pic:spPr>
                    <a:xfrm>
                      <a:off x="0" y="0"/>
                      <a:ext cx="5029200" cy="3143250"/>
                    </a:xfrm>
                    <a:prstGeom prst="rect"/>
                  </pic:spPr>
                </pic:pic>
              </a:graphicData>
            </a:graphic>
          </wp:inline>
        </w:drawing>
      </w:r>
    </w:p>
    <w:p>
      <w:pPr>
        <w:spacing w:before="120" w:after="240"/>
        <w:jc w:val="center"/>
      </w:pPr>
      <w:r>
        <w:drawing>
          <wp:inline xmlns:a="http://schemas.openxmlformats.org/drawingml/2006/main" xmlns:pic="http://schemas.openxmlformats.org/drawingml/2006/picture">
            <wp:extent cx="5029200" cy="3143250"/>
            <wp:docPr id="3" name="Picture 3"/>
            <wp:cNvGraphicFramePr>
              <a:graphicFrameLocks noChangeAspect="1"/>
            </wp:cNvGraphicFramePr>
            <a:graphic>
              <a:graphicData uri="http://schemas.openxmlformats.org/drawingml/2006/picture">
                <pic:pic>
                  <pic:nvPicPr>
                    <pic:cNvPr id="0" name="chart_box.png"/>
                    <pic:cNvPicPr/>
                  </pic:nvPicPr>
                  <pic:blipFill>
                    <a:blip r:embed="rId11"/>
                    <a:stretch>
                      <a:fillRect/>
                    </a:stretch>
                  </pic:blipFill>
                  <pic:spPr>
                    <a:xfrm>
                      <a:off x="0" y="0"/>
                      <a:ext cx="5029200" cy="3143250"/>
                    </a:xfrm>
                    <a:prstGeom prst="rect"/>
                  </pic:spPr>
                </pic:pic>
              </a:graphicData>
            </a:graphic>
          </wp:inline>
        </w:drawing>
      </w:r>
    </w:p>
    <w:p>
      <w:pPr>
        <w:spacing w:before="120" w:after="240"/>
        <w:jc w:val="center"/>
      </w:pPr>
      <w:r>
        <w:drawing>
          <wp:inline xmlns:a="http://schemas.openxmlformats.org/drawingml/2006/main" xmlns:pic="http://schemas.openxmlformats.org/drawingml/2006/picture">
            <wp:extent cx="5029200" cy="3143250"/>
            <wp:docPr id="4" name="Picture 4"/>
            <wp:cNvGraphicFramePr>
              <a:graphicFrameLocks noChangeAspect="1"/>
            </wp:cNvGraphicFramePr>
            <a:graphic>
              <a:graphicData uri="http://schemas.openxmlformats.org/drawingml/2006/picture">
                <pic:pic>
                  <pic:nvPicPr>
                    <pic:cNvPr id="0" name="chart_line.png"/>
                    <pic:cNvPicPr/>
                  </pic:nvPicPr>
                  <pic:blipFill>
                    <a:blip r:embed="rId12"/>
                    <a:stretch>
                      <a:fillRect/>
                    </a:stretch>
                  </pic:blipFill>
                  <pic:spPr>
                    <a:xfrm>
                      <a:off x="0" y="0"/>
                      <a:ext cx="5029200" cy="3143250"/>
                    </a:xfrm>
                    <a:prstGeom prst="rect"/>
                  </pic:spPr>
                </pic:pic>
              </a:graphicData>
            </a:graphic>
          </wp:inline>
        </w:drawing>
      </w:r>
    </w:p>
    <w:p>
      <w:pPr>
        <w:spacing w:before="0" w:after="80" w:line="276" w:lineRule="auto"/>
        <w:jc w:val="left"/>
      </w:pPr>
      <w:r>
        <w:rPr>
          <w:rFonts w:ascii="Times New Roman" w:hAnsi="Times New Roman"/>
          <w:b/>
          <w:i w:val="0"/>
          <w:color w:val="000000"/>
          <w:sz w:val="24"/>
        </w:rPr>
        <w:t>RESULT:</w:t>
      </w:r>
    </w:p>
    <w:p>
      <w:pPr>
        <w:spacing w:before="0" w:after="240" w:line="276" w:lineRule="auto"/>
        <w:jc w:val="left"/>
      </w:pPr>
      <w:r>
        <w:rPr>
          <w:rFonts w:ascii="Times New Roman" w:hAnsi="Times New Roman"/>
          <w:b w:val="0"/>
          <w:i w:val="0"/>
          <w:color w:val="000000"/>
          <w:sz w:val="24"/>
        </w:rPr>
        <w:t>The Earthquake dataset was successfully imported, analyzed, and visualized using various charts including bar charts, box plots, scatter plots, and line charts. Important patterns regarding seismic magnitudes, geographical distribution, and depth characteristics were identified through data visualization.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