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205B"/>
        </w:rPr>
        <w:t>Catastrophe Loss Report</w:t>
      </w:r>
    </w:p>
    <w:p>
      <w:r>
        <w:rPr>
          <w:color w:val="64748B"/>
          <w:sz w:val="20"/>
        </w:rPr>
        <w:t>Hurricane Helene — Category 3 Landfall</w:t>
        <w:br/>
        <w:t>CAT Event Reference: AIG-CAT-2025-HELENE-09</w:t>
        <w:br/>
        <w:t>Insured: Crescent Bay Resort &amp; Marina, LLC</w:t>
        <w:br/>
        <w:t>Date of Loss: September 12-14, 2025</w:t>
        <w:br/>
        <w:t>Report Date: February 1, 2026  |  Valuation: January 15, 2026</w:t>
      </w:r>
    </w:p>
    <w:p/>
    <w:p>
      <w:pPr>
        <w:pStyle w:val="Heading2"/>
      </w:pPr>
      <w:r>
        <w:rPr>
          <w:color w:val="00205B"/>
        </w:rPr>
        <w:t>Executive Summary</w:t>
      </w:r>
    </w:p>
    <w:p>
      <w:pPr>
        <w:spacing w:after="120"/>
      </w:pPr>
      <w:r>
        <w:rPr>
          <w:b w:val="0"/>
          <w:color w:val="334155"/>
          <w:sz w:val="20"/>
        </w:rPr>
        <w:t>Hurricane Helene made landfall as a Category 3 storm near Cedar Key, Florida on September 12, 2025, with maximum sustained winds of 120 mph and a storm surge of 9-12 feet above normal tide levels along the Gulf Coast of Florida. The insured property, Crescent Bay Resort &amp; Marina, sustained severe wind damage, storm surge flooding, and marina infrastructure destruction.</w:t>
      </w:r>
    </w:p>
    <w:p>
      <w:pPr>
        <w:spacing w:after="120"/>
      </w:pPr>
      <w:r>
        <w:rPr>
          <w:b/>
          <w:color w:val="334155"/>
          <w:sz w:val="20"/>
        </w:rPr>
        <w:t>TOTAL ESTIMATED LOSS: $18,742,000 (subject to adjustment)</w:t>
      </w:r>
    </w:p>
    <w:p>
      <w:pPr>
        <w:spacing w:after="120"/>
      </w:pPr>
      <w:r>
        <w:rPr>
          <w:b/>
          <w:color w:val="334155"/>
          <w:sz w:val="20"/>
        </w:rPr>
        <w:t>POLICY LIMITS ADEQUACY: Estimated loss exceeds property limit. BI/EE approaching sublimit. Excess carrier (Chubb) notified on 09/15/2025. Reinsurance notification filed under Treaty XL-2025-004.</w:t>
      </w:r>
    </w:p>
    <w:p/>
    <w:p>
      <w:pPr>
        <w:pStyle w:val="Heading2"/>
      </w:pPr>
      <w:r>
        <w:rPr>
          <w:color w:val="00205B"/>
        </w:rPr>
        <w:t>Policy Information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Policy Number</w:t>
            </w:r>
          </w:p>
        </w:tc>
        <w:tc>
          <w:tcPr>
            <w:tcW w:type="dxa" w:w="4320"/>
          </w:tcPr>
          <w:p>
            <w:r>
              <w:rPr>
                <w:sz w:val="18"/>
              </w:rPr>
              <w:t>AIG-CPP-2025-FL-71284</w:t>
            </w:r>
          </w:p>
        </w:tc>
      </w:tr>
      <w:tr>
        <w:tc>
          <w:tcPr>
            <w:tcW w:type="dxa" w:w="4320"/>
          </w:tcPr>
          <w:p>
            <w:r>
              <w:rPr>
                <w:b/>
                <w:sz w:val="18"/>
              </w:rPr>
              <w:t>Named Insured</w:t>
            </w:r>
          </w:p>
        </w:tc>
        <w:tc>
          <w:tcPr>
            <w:tcW w:type="dxa" w:w="4320"/>
          </w:tcPr>
          <w:p>
            <w:r>
              <w:rPr>
                <w:sz w:val="18"/>
              </w:rPr>
              <w:t>Crescent Bay Resort &amp; Marina, LLC</w:t>
            </w:r>
          </w:p>
        </w:tc>
      </w:tr>
      <w:tr>
        <w:tc>
          <w:tcPr>
            <w:tcW w:type="dxa" w:w="4320"/>
          </w:tcPr>
          <w:p>
            <w:r>
              <w:rPr>
                <w:b/>
                <w:sz w:val="18"/>
              </w:rPr>
              <w:t>Additional Insured</w:t>
            </w:r>
          </w:p>
        </w:tc>
        <w:tc>
          <w:tcPr>
            <w:tcW w:type="dxa" w:w="4320"/>
          </w:tcPr>
          <w:p>
            <w:r>
              <w:rPr>
                <w:sz w:val="18"/>
              </w:rPr>
              <w:t>Crescent Bay Holdings, Inc. (Parent)</w:t>
              <w:br/>
              <w:t>First National Bank of Tampa (Mortgagee)</w:t>
            </w:r>
          </w:p>
        </w:tc>
      </w:tr>
      <w:tr>
        <w:tc>
          <w:tcPr>
            <w:tcW w:type="dxa" w:w="4320"/>
          </w:tcPr>
          <w:p>
            <w:r>
              <w:rPr>
                <w:b/>
                <w:sz w:val="18"/>
              </w:rPr>
              <w:t>Property Address</w:t>
            </w:r>
          </w:p>
        </w:tc>
        <w:tc>
          <w:tcPr>
            <w:tcW w:type="dxa" w:w="4320"/>
          </w:tcPr>
          <w:p>
            <w:r>
              <w:rPr>
                <w:sz w:val="18"/>
              </w:rPr>
              <w:t>4800 Gulf Shore Drive, Crystal River, FL 34429</w:t>
            </w:r>
          </w:p>
        </w:tc>
      </w:tr>
      <w:tr>
        <w:tc>
          <w:tcPr>
            <w:tcW w:type="dxa" w:w="4320"/>
          </w:tcPr>
          <w:p>
            <w:r>
              <w:rPr>
                <w:b/>
                <w:sz w:val="18"/>
              </w:rPr>
              <w:t>Building Limit</w:t>
            </w:r>
          </w:p>
        </w:tc>
        <w:tc>
          <w:tcPr>
            <w:tcW w:type="dxa" w:w="4320"/>
          </w:tcPr>
          <w:p>
            <w:r>
              <w:rPr>
                <w:sz w:val="18"/>
              </w:rPr>
              <w:t>$12,500,000 (Replacement Cost)</w:t>
            </w:r>
          </w:p>
        </w:tc>
      </w:tr>
      <w:tr>
        <w:tc>
          <w:tcPr>
            <w:tcW w:type="dxa" w:w="4320"/>
          </w:tcPr>
          <w:p>
            <w:r>
              <w:rPr>
                <w:b/>
                <w:sz w:val="18"/>
              </w:rPr>
              <w:t>BPP / Contents Limit</w:t>
            </w:r>
          </w:p>
        </w:tc>
        <w:tc>
          <w:tcPr>
            <w:tcW w:type="dxa" w:w="4320"/>
          </w:tcPr>
          <w:p>
            <w:r>
              <w:rPr>
                <w:sz w:val="18"/>
              </w:rPr>
              <w:t>$4,200,000 (Replacement Cost)</w:t>
            </w:r>
          </w:p>
        </w:tc>
      </w:tr>
      <w:tr>
        <w:tc>
          <w:tcPr>
            <w:tcW w:type="dxa" w:w="4320"/>
          </w:tcPr>
          <w:p>
            <w:r>
              <w:rPr>
                <w:b/>
                <w:sz w:val="18"/>
              </w:rPr>
              <w:t>Business Income + EE</w:t>
            </w:r>
          </w:p>
        </w:tc>
        <w:tc>
          <w:tcPr>
            <w:tcW w:type="dxa" w:w="4320"/>
          </w:tcPr>
          <w:p>
            <w:r>
              <w:rPr>
                <w:sz w:val="18"/>
              </w:rPr>
              <w:t>$3,500,000 (12-month ALS, 72-hr waiting period)</w:t>
            </w:r>
          </w:p>
        </w:tc>
      </w:tr>
      <w:tr>
        <w:tc>
          <w:tcPr>
            <w:tcW w:type="dxa" w:w="4320"/>
          </w:tcPr>
          <w:p>
            <w:r>
              <w:rPr>
                <w:b/>
                <w:sz w:val="18"/>
              </w:rPr>
              <w:t>Named Storm Deductible</w:t>
            </w:r>
          </w:p>
        </w:tc>
        <w:tc>
          <w:tcPr>
            <w:tcW w:type="dxa" w:w="4320"/>
          </w:tcPr>
          <w:p>
            <w:r>
              <w:rPr>
                <w:sz w:val="18"/>
              </w:rPr>
              <w:t>5% of TIV at time of loss = $1,010,000 (based on $20,200,000 TIV)</w:t>
            </w:r>
          </w:p>
        </w:tc>
      </w:tr>
      <w:tr>
        <w:tc>
          <w:tcPr>
            <w:tcW w:type="dxa" w:w="4320"/>
          </w:tcPr>
          <w:p>
            <w:r>
              <w:rPr>
                <w:b/>
                <w:sz w:val="18"/>
              </w:rPr>
              <w:t>Flood Sublimit</w:t>
            </w:r>
          </w:p>
        </w:tc>
        <w:tc>
          <w:tcPr>
            <w:tcW w:type="dxa" w:w="4320"/>
          </w:tcPr>
          <w:p>
            <w:r>
              <w:rPr>
                <w:sz w:val="18"/>
              </w:rPr>
              <w:t>$2,500,000 per occurrence (Zone VE — High Risk Coastal)</w:t>
            </w:r>
          </w:p>
        </w:tc>
      </w:tr>
      <w:tr>
        <w:tc>
          <w:tcPr>
            <w:tcW w:type="dxa" w:w="4320"/>
          </w:tcPr>
          <w:p>
            <w:r>
              <w:rPr>
                <w:b/>
                <w:sz w:val="18"/>
              </w:rPr>
              <w:t>Flood Deductible</w:t>
            </w:r>
          </w:p>
        </w:tc>
        <w:tc>
          <w:tcPr>
            <w:tcW w:type="dxa" w:w="4320"/>
          </w:tcPr>
          <w:p>
            <w:r>
              <w:rPr>
                <w:sz w:val="18"/>
              </w:rPr>
              <w:t>$500,000</w:t>
            </w:r>
          </w:p>
        </w:tc>
      </w:tr>
      <w:tr>
        <w:tc>
          <w:tcPr>
            <w:tcW w:type="dxa" w:w="4320"/>
          </w:tcPr>
          <w:p>
            <w:r>
              <w:rPr>
                <w:b/>
                <w:sz w:val="18"/>
              </w:rPr>
              <w:t>Marina/Pier Sublimit</w:t>
            </w:r>
          </w:p>
        </w:tc>
        <w:tc>
          <w:tcPr>
            <w:tcW w:type="dxa" w:w="4320"/>
          </w:tcPr>
          <w:p>
            <w:r>
              <w:rPr>
                <w:sz w:val="18"/>
              </w:rPr>
              <w:t>$1,500,000 (ACV basis)</w:t>
            </w:r>
          </w:p>
        </w:tc>
      </w:tr>
      <w:tr>
        <w:tc>
          <w:tcPr>
            <w:tcW w:type="dxa" w:w="4320"/>
          </w:tcPr>
          <w:p>
            <w:r>
              <w:rPr>
                <w:b/>
                <w:sz w:val="18"/>
              </w:rPr>
              <w:t>Ordinance or Law</w:t>
            </w:r>
          </w:p>
        </w:tc>
        <w:tc>
          <w:tcPr>
            <w:tcW w:type="dxa" w:w="4320"/>
          </w:tcPr>
          <w:p>
            <w:r>
              <w:rPr>
                <w:sz w:val="18"/>
              </w:rPr>
              <w:t>$1,250,000 (Coverages A, B, C combined)</w:t>
            </w:r>
          </w:p>
        </w:tc>
      </w:tr>
      <w:tr>
        <w:tc>
          <w:tcPr>
            <w:tcW w:type="dxa" w:w="4320"/>
          </w:tcPr>
          <w:p>
            <w:r>
              <w:rPr>
                <w:b/>
                <w:sz w:val="18"/>
              </w:rPr>
              <w:t>Debris Removal</w:t>
            </w:r>
          </w:p>
        </w:tc>
        <w:tc>
          <w:tcPr>
            <w:tcW w:type="dxa" w:w="4320"/>
          </w:tcPr>
          <w:p>
            <w:r>
              <w:rPr>
                <w:sz w:val="18"/>
              </w:rPr>
              <w:t>$500,000 (additional)</w:t>
            </w:r>
          </w:p>
        </w:tc>
      </w:tr>
      <w:tr>
        <w:tc>
          <w:tcPr>
            <w:tcW w:type="dxa" w:w="4320"/>
          </w:tcPr>
          <w:p>
            <w:r>
              <w:rPr>
                <w:b/>
                <w:sz w:val="18"/>
              </w:rPr>
              <w:t>Policy Period</w:t>
            </w:r>
          </w:p>
        </w:tc>
        <w:tc>
          <w:tcPr>
            <w:tcW w:type="dxa" w:w="4320"/>
          </w:tcPr>
          <w:p>
            <w:r>
              <w:rPr>
                <w:sz w:val="18"/>
              </w:rPr>
              <w:t>07/01/2025 — 07/01/2026</w:t>
            </w:r>
          </w:p>
        </w:tc>
      </w:tr>
    </w:tbl>
    <w:p>
      <w:r>
        <w:br w:type="page"/>
      </w:r>
    </w:p>
    <w:p>
      <w:pPr>
        <w:pStyle w:val="Heading2"/>
      </w:pPr>
      <w:r>
        <w:rPr>
          <w:color w:val="00205B"/>
        </w:rPr>
        <w:t>Storm Event Timeline</w:t>
      </w:r>
    </w:p>
    <w:p>
      <w:pPr>
        <w:spacing w:after="120"/>
      </w:pPr>
      <w:r>
        <w:rPr>
          <w:b/>
          <w:color w:val="334155"/>
          <w:sz w:val="20"/>
        </w:rPr>
        <w:t>09/09/2025 — 72 hrs prior</w:t>
      </w:r>
    </w:p>
    <w:p>
      <w:pPr>
        <w:spacing w:after="120"/>
      </w:pPr>
      <w:r>
        <w:rPr>
          <w:b w:val="0"/>
          <w:color w:val="334155"/>
          <w:sz w:val="20"/>
        </w:rPr>
        <w:t>NHC issues Tropical Storm Watch for Citrus County. Insured activates hurricane preparedness plan. Marina vessels begin evacuation. Portable generators staged.</w:t>
      </w:r>
    </w:p>
    <w:p>
      <w:pPr>
        <w:spacing w:after="120"/>
      </w:pPr>
      <w:r>
        <w:rPr>
          <w:b/>
          <w:color w:val="334155"/>
          <w:sz w:val="20"/>
        </w:rPr>
        <w:t>09/10/2025 — 48 hrs prior</w:t>
      </w:r>
    </w:p>
    <w:p>
      <w:pPr>
        <w:spacing w:after="120"/>
      </w:pPr>
      <w:r>
        <w:rPr>
          <w:b w:val="0"/>
          <w:color w:val="334155"/>
          <w:sz w:val="20"/>
        </w:rPr>
        <w:t>Tropical Storm Watch upgraded to Hurricane Warning. Helene intensifies to Category 2. Insured deploys storm shutters, sandbags lobby and ground-floor rooms. Pool furniture secured. Guests evacuated per county mandatory evacuation order (Zone A).</w:t>
      </w:r>
    </w:p>
    <w:p>
      <w:pPr>
        <w:spacing w:after="120"/>
      </w:pPr>
      <w:r>
        <w:rPr>
          <w:b/>
          <w:color w:val="334155"/>
          <w:sz w:val="20"/>
        </w:rPr>
        <w:t>09/11/2025 — 24 hrs prior</w:t>
      </w:r>
    </w:p>
    <w:p>
      <w:pPr>
        <w:spacing w:after="120"/>
      </w:pPr>
      <w:r>
        <w:rPr>
          <w:b w:val="0"/>
          <w:color w:val="334155"/>
          <w:sz w:val="20"/>
        </w:rPr>
        <w:t>Helene rapidly intensifies to Category 3. Storm surge forecast increased from 6-8 ft to 9-12 ft. All staff except essential personnel evacuated. Emergency power systems tested. Final property walkthrough conducted and documented with video.</w:t>
      </w:r>
    </w:p>
    <w:p>
      <w:pPr>
        <w:spacing w:after="120"/>
      </w:pPr>
      <w:r>
        <w:rPr>
          <w:b/>
          <w:color w:val="334155"/>
          <w:sz w:val="20"/>
        </w:rPr>
        <w:t>09/12/2025 — Landfall</w:t>
      </w:r>
    </w:p>
    <w:p>
      <w:pPr>
        <w:spacing w:after="120"/>
      </w:pPr>
      <w:r>
        <w:rPr>
          <w:b w:val="0"/>
          <w:color w:val="334155"/>
          <w:sz w:val="20"/>
        </w:rPr>
        <w:t>Hurricane Helene makes landfall at 2:14 AM EDT near Cedar Key (35 miles south of insured property) with 120 mph sustained winds. Property experiences 105 mph sustained winds with 128 mph gusts. Storm surge reaches 10.4 ft above normal at property location per USGS gauge #02310947.</w:t>
      </w:r>
    </w:p>
    <w:p>
      <w:pPr>
        <w:spacing w:after="120"/>
      </w:pPr>
      <w:r>
        <w:rPr>
          <w:b/>
          <w:color w:val="334155"/>
          <w:sz w:val="20"/>
        </w:rPr>
        <w:t>09/12/2025 — Post-Landfall</w:t>
      </w:r>
    </w:p>
    <w:p>
      <w:pPr>
        <w:spacing w:after="120"/>
      </w:pPr>
      <w:r>
        <w:rPr>
          <w:b w:val="0"/>
          <w:color w:val="334155"/>
          <w:sz w:val="20"/>
        </w:rPr>
        <w:t>Storm surge begins receding by 8:00 AM. Significant structural damage visible. Marina pier partially collapsed. 4 of 6 buildings show roof damage. Ground floor flooded to 4.2 ft depth. Emergency services inaccessible until 09/13.</w:t>
      </w:r>
    </w:p>
    <w:p>
      <w:pPr>
        <w:spacing w:after="120"/>
      </w:pPr>
      <w:r>
        <w:rPr>
          <w:b/>
          <w:color w:val="334155"/>
          <w:sz w:val="20"/>
        </w:rPr>
        <w:t>09/13/2025 — First Assessment</w:t>
      </w:r>
    </w:p>
    <w:p>
      <w:pPr>
        <w:spacing w:after="120"/>
      </w:pPr>
      <w:r>
        <w:rPr>
          <w:b w:val="0"/>
          <w:color w:val="334155"/>
          <w:sz w:val="20"/>
        </w:rPr>
        <w:t>Insured conducts initial damage assessment with property manager and maintenance team. Photos and video documentation compiled. AIG notified via FNOL at 10:42 AM. Claim number assigned: CLM-2025-FL-CAT-42871.</w:t>
      </w:r>
    </w:p>
    <w:p>
      <w:pPr>
        <w:spacing w:after="120"/>
      </w:pPr>
      <w:r>
        <w:rPr>
          <w:b/>
          <w:color w:val="334155"/>
          <w:sz w:val="20"/>
        </w:rPr>
        <w:t>09/15/2025 — Adjuster Deployed</w:t>
      </w:r>
    </w:p>
    <w:p>
      <w:pPr>
        <w:spacing w:after="120"/>
      </w:pPr>
      <w:r>
        <w:rPr>
          <w:b w:val="0"/>
          <w:color w:val="334155"/>
          <w:sz w:val="20"/>
        </w:rPr>
        <w:t>AIG CAT adjuster (Thomas Brennan, Senior Complex Claims) arrives on-site. Independent structural engineer (Wiss, Janney, Elstner Associates) retained. Forensic meteorologist (Haag Engineering) retained for wind vs. water causation analysis.</w:t>
      </w:r>
    </w:p>
    <w:p>
      <w:r>
        <w:br w:type="page"/>
      </w:r>
    </w:p>
    <w:p>
      <w:pPr>
        <w:pStyle w:val="Heading2"/>
      </w:pPr>
      <w:r>
        <w:rPr>
          <w:color w:val="00205B"/>
        </w:rPr>
        <w:t>Detailed Damage Assessment</w:t>
      </w:r>
    </w:p>
    <w:p>
      <w:pPr>
        <w:pStyle w:val="Heading3"/>
      </w:pPr>
      <w:r>
        <w:rPr>
          <w:color w:val="00205B"/>
        </w:rPr>
        <w:t>Building 1: Main Resort (3-story, 84 rooms)</w:t>
      </w:r>
    </w:p>
    <w:p>
      <w:pPr>
        <w:spacing w:after="120"/>
      </w:pPr>
      <w:r>
        <w:rPr>
          <w:b w:val="0"/>
          <w:color w:val="334155"/>
          <w:sz w:val="20"/>
        </w:rPr>
        <w:t>Construction: Reinforced concrete frame, stucco exterior, concrete tile roof (installed 2018).</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205B"/>
          </w:tcPr>
          <w:p>
            <w:pPr>
              <w:jc w:val="center"/>
            </w:pPr>
            <w:r>
              <w:rPr>
                <w:b/>
                <w:color w:val="FFFFFF"/>
                <w:sz w:val="18"/>
              </w:rPr>
              <w:t>Component</w:t>
            </w:r>
          </w:p>
        </w:tc>
        <w:tc>
          <w:tcPr>
            <w:tcW w:type="dxa" w:w="2160"/>
            <w:shd w:fill="00205B"/>
          </w:tcPr>
          <w:p>
            <w:pPr>
              <w:jc w:val="center"/>
            </w:pPr>
            <w:r>
              <w:rPr>
                <w:b/>
                <w:color w:val="FFFFFF"/>
                <w:sz w:val="18"/>
              </w:rPr>
              <w:t>Peril</w:t>
            </w:r>
          </w:p>
        </w:tc>
        <w:tc>
          <w:tcPr>
            <w:tcW w:type="dxa" w:w="2160"/>
            <w:shd w:fill="00205B"/>
          </w:tcPr>
          <w:p>
            <w:pPr>
              <w:jc w:val="center"/>
            </w:pPr>
            <w:r>
              <w:rPr>
                <w:b/>
                <w:color w:val="FFFFFF"/>
                <w:sz w:val="18"/>
              </w:rPr>
              <w:t>Estimated</w:t>
              <w:br/>
              <w:t>Cost</w:t>
            </w:r>
          </w:p>
        </w:tc>
        <w:tc>
          <w:tcPr>
            <w:tcW w:type="dxa" w:w="2160"/>
            <w:shd w:fill="00205B"/>
          </w:tcPr>
          <w:p>
            <w:pPr>
              <w:jc w:val="center"/>
            </w:pPr>
            <w:r>
              <w:rPr>
                <w:b/>
                <w:color w:val="FFFFFF"/>
                <w:sz w:val="18"/>
              </w:rPr>
              <w:t>Description</w:t>
            </w:r>
          </w:p>
        </w:tc>
      </w:tr>
      <w:tr>
        <w:tc>
          <w:tcPr>
            <w:tcW w:type="dxa" w:w="2160"/>
          </w:tcPr>
          <w:p>
            <w:r>
              <w:rPr>
                <w:sz w:val="16"/>
              </w:rPr>
              <w:t>Roof System</w:t>
            </w:r>
          </w:p>
        </w:tc>
        <w:tc>
          <w:tcPr>
            <w:tcW w:type="dxa" w:w="2160"/>
          </w:tcPr>
          <w:p>
            <w:r>
              <w:rPr>
                <w:sz w:val="16"/>
              </w:rPr>
              <w:t>Wind</w:t>
            </w:r>
          </w:p>
        </w:tc>
        <w:tc>
          <w:tcPr>
            <w:tcW w:type="dxa" w:w="2160"/>
          </w:tcPr>
          <w:p>
            <w:r>
              <w:rPr>
                <w:sz w:val="16"/>
              </w:rPr>
              <w:t>$1,420,000</w:t>
            </w:r>
          </w:p>
        </w:tc>
        <w:tc>
          <w:tcPr>
            <w:tcW w:type="dxa" w:w="2160"/>
          </w:tcPr>
          <w:p>
            <w:r>
              <w:rPr>
                <w:sz w:val="16"/>
              </w:rPr>
              <w:t>Approximately 35% of concrete tiles displaced or broken. Underlayment exposed in 6 areas. Water intrusion into 22 guest rooms on 3rd floor. Tile manufacturer (Eagle Roofing) confirmed tiles rated for 150 mph — failure at 128 mph gusts suggests installation deficiency, not product failure. Roof warranty claim denied by installer.</w:t>
            </w:r>
          </w:p>
        </w:tc>
      </w:tr>
      <w:tr>
        <w:tc>
          <w:tcPr>
            <w:tcW w:type="dxa" w:w="2160"/>
          </w:tcPr>
          <w:p>
            <w:r>
              <w:rPr>
                <w:sz w:val="16"/>
              </w:rPr>
              <w:t>Building Envelope</w:t>
            </w:r>
          </w:p>
        </w:tc>
        <w:tc>
          <w:tcPr>
            <w:tcW w:type="dxa" w:w="2160"/>
          </w:tcPr>
          <w:p>
            <w:r>
              <w:rPr>
                <w:sz w:val="16"/>
              </w:rPr>
              <w:t>Wind</w:t>
            </w:r>
          </w:p>
        </w:tc>
        <w:tc>
          <w:tcPr>
            <w:tcW w:type="dxa" w:w="2160"/>
          </w:tcPr>
          <w:p>
            <w:r>
              <w:rPr>
                <w:sz w:val="16"/>
              </w:rPr>
              <w:t>$680,000</w:t>
            </w:r>
          </w:p>
        </w:tc>
        <w:tc>
          <w:tcPr>
            <w:tcW w:type="dxa" w:w="2160"/>
          </w:tcPr>
          <w:p>
            <w:r>
              <w:rPr>
                <w:sz w:val="16"/>
              </w:rPr>
              <w:t>Impact damage to stucco facade on east and south elevations. 14 windows broken (non-impact rated — pre-dates FL Building Code 2020 requirement). Balcony railings damaged on 8 units.</w:t>
            </w:r>
          </w:p>
        </w:tc>
      </w:tr>
      <w:tr>
        <w:tc>
          <w:tcPr>
            <w:tcW w:type="dxa" w:w="2160"/>
          </w:tcPr>
          <w:p>
            <w:r>
              <w:rPr>
                <w:sz w:val="16"/>
              </w:rPr>
              <w:t>Interior — 3rd Floor</w:t>
            </w:r>
          </w:p>
        </w:tc>
        <w:tc>
          <w:tcPr>
            <w:tcW w:type="dxa" w:w="2160"/>
          </w:tcPr>
          <w:p>
            <w:r>
              <w:rPr>
                <w:sz w:val="16"/>
              </w:rPr>
              <w:t>Wind/</w:t>
              <w:br/>
              <w:t>Water</w:t>
            </w:r>
          </w:p>
        </w:tc>
        <w:tc>
          <w:tcPr>
            <w:tcW w:type="dxa" w:w="2160"/>
          </w:tcPr>
          <w:p>
            <w:r>
              <w:rPr>
                <w:sz w:val="16"/>
              </w:rPr>
              <w:t>$1,240,000</w:t>
            </w:r>
          </w:p>
        </w:tc>
        <w:tc>
          <w:tcPr>
            <w:tcW w:type="dxa" w:w="2160"/>
          </w:tcPr>
          <w:p>
            <w:r>
              <w:rPr>
                <w:sz w:val="16"/>
              </w:rPr>
              <w:t>Water damage to 22 guest rooms: flooring, drywall, furniture, fixtures. Mold remediation required in 16 rooms (testing confirmed Aspergillus/Penicillium above acceptable levels). Full gut renovation required.</w:t>
            </w:r>
          </w:p>
        </w:tc>
      </w:tr>
      <w:tr>
        <w:tc>
          <w:tcPr>
            <w:tcW w:type="dxa" w:w="2160"/>
          </w:tcPr>
          <w:p>
            <w:r>
              <w:rPr>
                <w:sz w:val="16"/>
              </w:rPr>
              <w:t>Interior — 2nd Floor</w:t>
            </w:r>
          </w:p>
        </w:tc>
        <w:tc>
          <w:tcPr>
            <w:tcW w:type="dxa" w:w="2160"/>
          </w:tcPr>
          <w:p>
            <w:r>
              <w:rPr>
                <w:sz w:val="16"/>
              </w:rPr>
              <w:t>Wind-</w:t>
              <w:br/>
              <w:t>Driven</w:t>
              <w:br/>
              <w:t>Rain</w:t>
            </w:r>
          </w:p>
        </w:tc>
        <w:tc>
          <w:tcPr>
            <w:tcW w:type="dxa" w:w="2160"/>
          </w:tcPr>
          <w:p>
            <w:r>
              <w:rPr>
                <w:sz w:val="16"/>
              </w:rPr>
              <w:t>$420,000</w:t>
            </w:r>
          </w:p>
        </w:tc>
        <w:tc>
          <w:tcPr>
            <w:tcW w:type="dxa" w:w="2160"/>
          </w:tcPr>
          <w:p>
            <w:r>
              <w:rPr>
                <w:sz w:val="16"/>
              </w:rPr>
              <w:t>Wind-driven rain penetration through window breaches. 8 rooms affected — carpeting, lower drywall, bathroom fixtures.</w:t>
            </w:r>
          </w:p>
        </w:tc>
      </w:tr>
      <w:tr>
        <w:tc>
          <w:tcPr>
            <w:tcW w:type="dxa" w:w="2160"/>
          </w:tcPr>
          <w:p>
            <w:r>
              <w:rPr>
                <w:sz w:val="16"/>
              </w:rPr>
              <w:t>Interior — 1st Floor</w:t>
            </w:r>
          </w:p>
        </w:tc>
        <w:tc>
          <w:tcPr>
            <w:tcW w:type="dxa" w:w="2160"/>
          </w:tcPr>
          <w:p>
            <w:r>
              <w:rPr>
                <w:sz w:val="16"/>
              </w:rPr>
              <w:t>Storm</w:t>
              <w:br/>
              <w:t>Surge</w:t>
            </w:r>
          </w:p>
        </w:tc>
        <w:tc>
          <w:tcPr>
            <w:tcW w:type="dxa" w:w="2160"/>
          </w:tcPr>
          <w:p>
            <w:r>
              <w:rPr>
                <w:sz w:val="16"/>
              </w:rPr>
              <w:t>$1,860,000</w:t>
            </w:r>
          </w:p>
        </w:tc>
        <w:tc>
          <w:tcPr>
            <w:tcW w:type="dxa" w:w="2160"/>
          </w:tcPr>
          <w:p>
            <w:r>
              <w:rPr>
                <w:sz w:val="16"/>
              </w:rPr>
              <w:t>Storm surge flooding to 4.2 ft depth. Complete destruction of lobby, restaurant, spa, fitness center, and 12 ground-floor rooms. All flooring, drywall to 4 ft, electrical outlets/switches, kitchen equipment, and HVAC air handlers destroyed. NOTE: Subject to Flood Sublimit and separate deductible.</w:t>
            </w:r>
          </w:p>
        </w:tc>
      </w:tr>
      <w:tr>
        <w:tc>
          <w:tcPr>
            <w:tcW w:type="dxa" w:w="2160"/>
          </w:tcPr>
          <w:p>
            <w:r>
              <w:rPr>
                <w:sz w:val="16"/>
              </w:rPr>
              <w:t>Elevator Systems</w:t>
            </w:r>
          </w:p>
        </w:tc>
        <w:tc>
          <w:tcPr>
            <w:tcW w:type="dxa" w:w="2160"/>
          </w:tcPr>
          <w:p>
            <w:r>
              <w:rPr>
                <w:sz w:val="16"/>
              </w:rPr>
              <w:t>Flood</w:t>
            </w:r>
          </w:p>
        </w:tc>
        <w:tc>
          <w:tcPr>
            <w:tcW w:type="dxa" w:w="2160"/>
          </w:tcPr>
          <w:p>
            <w:r>
              <w:rPr>
                <w:sz w:val="16"/>
              </w:rPr>
              <w:t>$340,000</w:t>
            </w:r>
          </w:p>
        </w:tc>
        <w:tc>
          <w:tcPr>
            <w:tcW w:type="dxa" w:w="2160"/>
          </w:tcPr>
          <w:p>
            <w:r>
              <w:rPr>
                <w:sz w:val="16"/>
              </w:rPr>
              <w:t>Both elevator pits flooded. Control panels, motors, and guide rails require replacement. Otis Elevator inspection confirms total loss of elevator machinery. Estimated replacement: 16-20 weeks lead time.</w:t>
            </w:r>
          </w:p>
        </w:tc>
      </w:tr>
      <w:tr>
        <w:tc>
          <w:tcPr>
            <w:tcW w:type="dxa" w:w="2160"/>
          </w:tcPr>
          <w:p>
            <w:r>
              <w:rPr>
                <w:sz w:val="16"/>
              </w:rPr>
              <w:t>Electrical Systems</w:t>
            </w:r>
          </w:p>
        </w:tc>
        <w:tc>
          <w:tcPr>
            <w:tcW w:type="dxa" w:w="2160"/>
          </w:tcPr>
          <w:p>
            <w:r>
              <w:rPr>
                <w:sz w:val="16"/>
              </w:rPr>
              <w:t>Surge/</w:t>
              <w:br/>
              <w:t>Flood</w:t>
            </w:r>
          </w:p>
        </w:tc>
        <w:tc>
          <w:tcPr>
            <w:tcW w:type="dxa" w:w="2160"/>
          </w:tcPr>
          <w:p>
            <w:r>
              <w:rPr>
                <w:sz w:val="16"/>
              </w:rPr>
              <w:t>$520,000</w:t>
            </w:r>
          </w:p>
        </w:tc>
        <w:tc>
          <w:tcPr>
            <w:tcW w:type="dxa" w:w="2160"/>
          </w:tcPr>
          <w:p>
            <w:r>
              <w:rPr>
                <w:sz w:val="16"/>
              </w:rPr>
              <w:t>Main electrical panel (ground floor) destroyed by surge water. Emergency generator operated for 72 hours post-storm but sustained salt water damage to cooling system. Transfer switch damaged. Complete rewiring of ground floor required.</w:t>
            </w:r>
          </w:p>
        </w:tc>
      </w:tr>
    </w:tbl>
    <w:p>
      <w:pPr>
        <w:spacing w:after="120"/>
      </w:pPr>
      <w:r>
        <w:rPr>
          <w:b/>
          <w:color w:val="334155"/>
          <w:sz w:val="20"/>
        </w:rPr>
        <w:t>Building 1 Subtotal: $6,480,000</w:t>
      </w:r>
    </w:p>
    <w:p>
      <w:r>
        <w:br w:type="page"/>
      </w:r>
    </w:p>
    <w:p>
      <w:pPr>
        <w:pStyle w:val="Heading3"/>
      </w:pPr>
      <w:r>
        <w:rPr>
          <w:color w:val="00205B"/>
        </w:rPr>
        <w:t>Building 2: Conference Center &amp; Ballroom</w:t>
      </w:r>
    </w:p>
    <w:p>
      <w:pPr>
        <w:spacing w:after="120"/>
      </w:pPr>
      <w:r>
        <w:rPr>
          <w:b w:val="0"/>
          <w:color w:val="334155"/>
          <w:sz w:val="20"/>
        </w:rPr>
        <w:t>Construction: Steel frame, glass curtain wall (south), metal roof. Built 2015.</w:t>
      </w:r>
    </w:p>
    <w:p>
      <w:pPr>
        <w:spacing w:after="120"/>
      </w:pPr>
      <w:r>
        <w:rPr>
          <w:b/>
          <w:color w:val="334155"/>
          <w:sz w:val="20"/>
        </w:rPr>
        <w:t>Metal Roof (Wind): $480,000</w:t>
      </w:r>
    </w:p>
    <w:p>
      <w:pPr>
        <w:spacing w:after="120"/>
      </w:pPr>
      <w:r>
        <w:rPr>
          <w:b w:val="0"/>
          <w:color w:val="334155"/>
          <w:sz w:val="20"/>
        </w:rPr>
        <w:t>Standing seam metal roof — 20% of panels peeled back by wind uplift. Ridge cap separation along 120 linear feet. Underlayment intact in most areas.</w:t>
      </w:r>
    </w:p>
    <w:p>
      <w:pPr>
        <w:spacing w:after="120"/>
      </w:pPr>
      <w:r>
        <w:rPr>
          <w:b/>
          <w:color w:val="334155"/>
          <w:sz w:val="20"/>
        </w:rPr>
        <w:t>Glass Curtain Wall (Wind/</w:t>
        <w:br/>
        <w:t>Debris): $890,000</w:t>
      </w:r>
    </w:p>
    <w:p>
      <w:pPr>
        <w:spacing w:after="120"/>
      </w:pPr>
      <w:r>
        <w:rPr>
          <w:b w:val="0"/>
          <w:color w:val="334155"/>
          <w:sz w:val="20"/>
        </w:rPr>
        <w:t>South-facing glass curtain wall suffered catastrophic failure. 8 of 24 panels shattered by windborne debris (tree limbs from neighboring property). Interior exposed to wind-driven rain for estimated 6 hours before tarping. AV equipment, stage, and ballroom flooring destroyed.</w:t>
      </w:r>
    </w:p>
    <w:p>
      <w:pPr>
        <w:spacing w:after="120"/>
      </w:pPr>
      <w:r>
        <w:rPr>
          <w:b/>
          <w:color w:val="334155"/>
          <w:sz w:val="20"/>
        </w:rPr>
        <w:t>Interior (Water): $640,000</w:t>
      </w:r>
    </w:p>
    <w:p>
      <w:pPr>
        <w:spacing w:after="120"/>
      </w:pPr>
      <w:r>
        <w:rPr>
          <w:b w:val="0"/>
          <w:color w:val="334155"/>
          <w:sz w:val="20"/>
        </w:rPr>
        <w:t>Water damage throughout from glass failure and roof leaks. Drop ceiling collapsed. Carpet, lighting, and wall finishes require full replacement. Kitchen (catering) equipment damaged by water intrusion.</w:t>
      </w:r>
    </w:p>
    <w:p>
      <w:pPr>
        <w:spacing w:after="120"/>
      </w:pPr>
      <w:r>
        <w:rPr>
          <w:b/>
          <w:color w:val="334155"/>
          <w:sz w:val="20"/>
        </w:rPr>
        <w:t>HVAC (Wind): $180,000</w:t>
      </w:r>
    </w:p>
    <w:p>
      <w:pPr>
        <w:spacing w:after="120"/>
      </w:pPr>
      <w:r>
        <w:rPr>
          <w:b w:val="0"/>
          <w:color w:val="334155"/>
          <w:sz w:val="20"/>
        </w:rPr>
        <w:t>3 rooftop HVAC units displaced from curbs. Ductwork damaged. Refrigerant released (R-410A — EPA notification required).</w:t>
      </w:r>
    </w:p>
    <w:p>
      <w:pPr>
        <w:spacing w:after="120"/>
      </w:pPr>
      <w:r>
        <w:rPr>
          <w:b/>
          <w:color w:val="334155"/>
          <w:sz w:val="20"/>
        </w:rPr>
        <w:t>Building 2 Subtotal: $2,190,000</w:t>
      </w:r>
    </w:p>
    <w:p/>
    <w:p>
      <w:pPr>
        <w:pStyle w:val="Heading3"/>
      </w:pPr>
      <w:r>
        <w:rPr>
          <w:color w:val="00205B"/>
        </w:rPr>
        <w:t>Marina &amp; Pier Infrastructure</w:t>
      </w:r>
    </w:p>
    <w:p>
      <w:pPr>
        <w:spacing w:after="120"/>
      </w:pPr>
      <w:r>
        <w:rPr>
          <w:b/>
          <w:color w:val="334155"/>
          <w:sz w:val="20"/>
        </w:rPr>
        <w:t>Fixed Pier (300 ft) (Storm</w:t>
        <w:br/>
        <w:t>Surge): $680,000</w:t>
      </w:r>
    </w:p>
    <w:p>
      <w:pPr>
        <w:spacing w:after="120"/>
      </w:pPr>
      <w:r>
        <w:rPr>
          <w:b w:val="0"/>
          <w:color w:val="334155"/>
          <w:sz w:val="20"/>
        </w:rPr>
        <w:t>Concrete pier deck separated from pilings at 3 points. Approximately 120 ft of pier is unusable. Pilings intact below waterline per dive inspection.</w:t>
      </w:r>
    </w:p>
    <w:p>
      <w:pPr>
        <w:spacing w:after="120"/>
      </w:pPr>
      <w:r>
        <w:rPr>
          <w:b/>
          <w:color w:val="334155"/>
          <w:sz w:val="20"/>
        </w:rPr>
        <w:t>Floating Dock System (Surge/</w:t>
        <w:br/>
        <w:t>Wind): $420,000</w:t>
      </w:r>
    </w:p>
    <w:p>
      <w:pPr>
        <w:spacing w:after="120"/>
      </w:pPr>
      <w:r>
        <w:rPr>
          <w:b w:val="0"/>
          <w:color w:val="334155"/>
          <w:sz w:val="20"/>
        </w:rPr>
        <w:t>Floating dock system (40 slips) — 60% destroyed. Dock fingers broken, cleats pulled, gangways twisted. 12 slips salvageable with repair.</w:t>
      </w:r>
    </w:p>
    <w:p>
      <w:pPr>
        <w:spacing w:after="120"/>
      </w:pPr>
      <w:r>
        <w:rPr>
          <w:b/>
          <w:color w:val="334155"/>
          <w:sz w:val="20"/>
        </w:rPr>
        <w:t>Fuel Dock &amp; Pump Station (Surge): $340,000</w:t>
      </w:r>
    </w:p>
    <w:p>
      <w:pPr>
        <w:spacing w:after="120"/>
      </w:pPr>
      <w:r>
        <w:rPr>
          <w:b w:val="0"/>
          <w:color w:val="334155"/>
          <w:sz w:val="20"/>
        </w:rPr>
        <w:t>Underground fuel tanks intact (double-walled FRP). Above-ground dispensers, piping, and electrical destroyed. DEP inspection required before reconstruction. Fuel inventory loss: 2,400 gallons diesel, 1,800 gallons gasoline ($18,200).</w:t>
      </w:r>
    </w:p>
    <w:p>
      <w:pPr>
        <w:spacing w:after="120"/>
      </w:pPr>
      <w:r>
        <w:rPr>
          <w:b/>
          <w:color w:val="334155"/>
          <w:sz w:val="20"/>
        </w:rPr>
        <w:t>Ship Store &amp; Marina Office (Surge): $180,000</w:t>
      </w:r>
    </w:p>
    <w:p>
      <w:pPr>
        <w:spacing w:after="120"/>
      </w:pPr>
      <w:r>
        <w:rPr>
          <w:b w:val="0"/>
          <w:color w:val="334155"/>
          <w:sz w:val="20"/>
        </w:rPr>
        <w:t>Single-story CBS structure — flooded to 3.8 ft. Contents total loss. Structure repairable.</w:t>
      </w:r>
    </w:p>
    <w:p>
      <w:pPr>
        <w:spacing w:after="120"/>
      </w:pPr>
      <w:r>
        <w:rPr>
          <w:b/>
          <w:color w:val="334155"/>
          <w:sz w:val="20"/>
        </w:rPr>
        <w:t>Boat Lift (2 units) (Wind): $120,000</w:t>
      </w:r>
    </w:p>
    <w:p>
      <w:pPr>
        <w:spacing w:after="120"/>
      </w:pPr>
      <w:r>
        <w:rPr>
          <w:b w:val="0"/>
          <w:color w:val="334155"/>
          <w:sz w:val="20"/>
        </w:rPr>
        <w:t>1 of 2 boat lifts twisted off rails. Motor housing damaged on both units. Replacement parts: 12-16 week lead time from manufacturer.</w:t>
      </w:r>
    </w:p>
    <w:p>
      <w:pPr>
        <w:spacing w:after="120"/>
      </w:pPr>
      <w:r>
        <w:rPr>
          <w:b/>
          <w:color w:val="334155"/>
          <w:sz w:val="20"/>
        </w:rPr>
        <w:t>Marina Subtotal: $1,740,000 (subject to $1,500,000 sublimit — excess of $240,000 not covered)</w:t>
      </w:r>
    </w:p>
    <w:p>
      <w:r>
        <w:br w:type="page"/>
      </w:r>
    </w:p>
    <w:p>
      <w:pPr>
        <w:pStyle w:val="Heading2"/>
      </w:pPr>
      <w:r>
        <w:rPr>
          <w:color w:val="00205B"/>
        </w:rPr>
        <w:t>Coverage Application &amp; Loss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205B"/>
          </w:tcPr>
          <w:p>
            <w:pPr>
              <w:jc w:val="center"/>
            </w:pPr>
            <w:r>
              <w:rPr>
                <w:b/>
                <w:color w:val="FFFFFF"/>
                <w:sz w:val="18"/>
              </w:rPr>
              <w:t>Category</w:t>
            </w:r>
          </w:p>
        </w:tc>
        <w:tc>
          <w:tcPr>
            <w:tcW w:type="dxa" w:w="2160"/>
            <w:shd w:fill="00205B"/>
          </w:tcPr>
          <w:p>
            <w:pPr>
              <w:jc w:val="center"/>
            </w:pPr>
            <w:r>
              <w:rPr>
                <w:b/>
                <w:color w:val="FFFFFF"/>
                <w:sz w:val="18"/>
              </w:rPr>
              <w:t>Gross Loss</w:t>
            </w:r>
          </w:p>
        </w:tc>
        <w:tc>
          <w:tcPr>
            <w:tcW w:type="dxa" w:w="2160"/>
            <w:shd w:fill="00205B"/>
          </w:tcPr>
          <w:p>
            <w:pPr>
              <w:jc w:val="center"/>
            </w:pPr>
            <w:r>
              <w:rPr>
                <w:b/>
                <w:color w:val="FFFFFF"/>
                <w:sz w:val="18"/>
              </w:rPr>
              <w:t>Deductible /</w:t>
              <w:br/>
              <w:t>Sublimit</w:t>
            </w:r>
          </w:p>
        </w:tc>
        <w:tc>
          <w:tcPr>
            <w:tcW w:type="dxa" w:w="2160"/>
            <w:shd w:fill="00205B"/>
          </w:tcPr>
          <w:p>
            <w:pPr>
              <w:jc w:val="center"/>
            </w:pPr>
            <w:r>
              <w:rPr>
                <w:b/>
                <w:color w:val="FFFFFF"/>
                <w:sz w:val="18"/>
              </w:rPr>
              <w:t>Net Payable</w:t>
            </w:r>
          </w:p>
        </w:tc>
      </w:tr>
      <w:tr>
        <w:tc>
          <w:tcPr>
            <w:tcW w:type="dxa" w:w="2160"/>
          </w:tcPr>
          <w:p>
            <w:r>
              <w:rPr>
                <w:sz w:val="17"/>
              </w:rPr>
              <w:t>Building 1 — Wind Damage</w:t>
            </w:r>
          </w:p>
        </w:tc>
        <w:tc>
          <w:tcPr>
            <w:tcW w:type="dxa" w:w="2160"/>
          </w:tcPr>
          <w:p>
            <w:r>
              <w:rPr>
                <w:sz w:val="17"/>
              </w:rPr>
              <w:t>$3,760,000</w:t>
            </w:r>
          </w:p>
        </w:tc>
        <w:tc>
          <w:tcPr>
            <w:tcW w:type="dxa" w:w="2160"/>
          </w:tcPr>
          <w:p>
            <w:r>
              <w:rPr>
                <w:sz w:val="17"/>
              </w:rPr>
              <w:t>Named Storm</w:t>
              <w:br/>
              <w:t>Ded: $1,010,000</w:t>
            </w:r>
          </w:p>
        </w:tc>
        <w:tc>
          <w:tcPr>
            <w:tcW w:type="dxa" w:w="2160"/>
          </w:tcPr>
          <w:p>
            <w:r>
              <w:rPr>
                <w:sz w:val="17"/>
              </w:rPr>
              <w:t>$2,750,000</w:t>
            </w:r>
          </w:p>
        </w:tc>
      </w:tr>
      <w:tr>
        <w:tc>
          <w:tcPr>
            <w:tcW w:type="dxa" w:w="2160"/>
          </w:tcPr>
          <w:p>
            <w:r>
              <w:rPr>
                <w:sz w:val="17"/>
              </w:rPr>
              <w:t>Building 1 — Storm Surge (Flood)</w:t>
            </w:r>
          </w:p>
        </w:tc>
        <w:tc>
          <w:tcPr>
            <w:tcW w:type="dxa" w:w="2160"/>
          </w:tcPr>
          <w:p>
            <w:r>
              <w:rPr>
                <w:sz w:val="17"/>
              </w:rPr>
              <w:t>$2,720,000</w:t>
            </w:r>
          </w:p>
        </w:tc>
        <w:tc>
          <w:tcPr>
            <w:tcW w:type="dxa" w:w="2160"/>
          </w:tcPr>
          <w:p>
            <w:r>
              <w:rPr>
                <w:sz w:val="17"/>
              </w:rPr>
              <w:t>Flood Sub:</w:t>
              <w:br/>
              <w:t>$2,500,000</w:t>
              <w:br/>
              <w:t>Flood Ded: $500,000</w:t>
            </w:r>
          </w:p>
        </w:tc>
        <w:tc>
          <w:tcPr>
            <w:tcW w:type="dxa" w:w="2160"/>
          </w:tcPr>
          <w:p>
            <w:r>
              <w:rPr>
                <w:sz w:val="17"/>
              </w:rPr>
              <w:t>$2,000,000</w:t>
            </w:r>
          </w:p>
        </w:tc>
      </w:tr>
      <w:tr>
        <w:tc>
          <w:tcPr>
            <w:tcW w:type="dxa" w:w="2160"/>
          </w:tcPr>
          <w:p>
            <w:r>
              <w:rPr>
                <w:sz w:val="17"/>
              </w:rPr>
              <w:t>Building 2 — Wind Damage</w:t>
            </w:r>
          </w:p>
        </w:tc>
        <w:tc>
          <w:tcPr>
            <w:tcW w:type="dxa" w:w="2160"/>
          </w:tcPr>
          <w:p>
            <w:r>
              <w:rPr>
                <w:sz w:val="17"/>
              </w:rPr>
              <w:t>$1,550,000</w:t>
            </w:r>
          </w:p>
        </w:tc>
        <w:tc>
          <w:tcPr>
            <w:tcW w:type="dxa" w:w="2160"/>
          </w:tcPr>
          <w:p>
            <w:r>
              <w:rPr>
                <w:sz w:val="17"/>
              </w:rPr>
              <w:t>Named Storm</w:t>
              <w:br/>
              <w:t>Ded (applied</w:t>
              <w:br/>
              <w:t>above)</w:t>
            </w:r>
          </w:p>
        </w:tc>
        <w:tc>
          <w:tcPr>
            <w:tcW w:type="dxa" w:w="2160"/>
          </w:tcPr>
          <w:p>
            <w:r>
              <w:rPr>
                <w:sz w:val="17"/>
              </w:rPr>
              <w:t>$1,550,000</w:t>
            </w:r>
          </w:p>
        </w:tc>
      </w:tr>
      <w:tr>
        <w:tc>
          <w:tcPr>
            <w:tcW w:type="dxa" w:w="2160"/>
          </w:tcPr>
          <w:p>
            <w:r>
              <w:rPr>
                <w:sz w:val="17"/>
              </w:rPr>
              <w:t>Building 2 — Water Damage</w:t>
            </w:r>
          </w:p>
        </w:tc>
        <w:tc>
          <w:tcPr>
            <w:tcW w:type="dxa" w:w="2160"/>
          </w:tcPr>
          <w:p>
            <w:r>
              <w:rPr>
                <w:sz w:val="17"/>
              </w:rPr>
              <w:t>$640,000</w:t>
            </w:r>
          </w:p>
        </w:tc>
        <w:tc>
          <w:tcPr>
            <w:tcW w:type="dxa" w:w="2160"/>
          </w:tcPr>
          <w:p>
            <w:r>
              <w:rPr>
                <w:sz w:val="17"/>
              </w:rPr>
              <w:t>—</w:t>
            </w:r>
          </w:p>
        </w:tc>
        <w:tc>
          <w:tcPr>
            <w:tcW w:type="dxa" w:w="2160"/>
          </w:tcPr>
          <w:p>
            <w:r>
              <w:rPr>
                <w:sz w:val="17"/>
              </w:rPr>
              <w:t>$640,000</w:t>
            </w:r>
          </w:p>
        </w:tc>
      </w:tr>
      <w:tr>
        <w:tc>
          <w:tcPr>
            <w:tcW w:type="dxa" w:w="2160"/>
          </w:tcPr>
          <w:p>
            <w:r>
              <w:rPr>
                <w:sz w:val="17"/>
              </w:rPr>
              <w:t>Marina &amp; Pier</w:t>
            </w:r>
          </w:p>
        </w:tc>
        <w:tc>
          <w:tcPr>
            <w:tcW w:type="dxa" w:w="2160"/>
          </w:tcPr>
          <w:p>
            <w:r>
              <w:rPr>
                <w:sz w:val="17"/>
              </w:rPr>
              <w:t>$1,740,000</w:t>
            </w:r>
          </w:p>
        </w:tc>
        <w:tc>
          <w:tcPr>
            <w:tcW w:type="dxa" w:w="2160"/>
          </w:tcPr>
          <w:p>
            <w:r>
              <w:rPr>
                <w:sz w:val="17"/>
              </w:rPr>
              <w:t>Sublimit:</w:t>
              <w:br/>
              <w:t>$1,500,000</w:t>
            </w:r>
          </w:p>
        </w:tc>
        <w:tc>
          <w:tcPr>
            <w:tcW w:type="dxa" w:w="2160"/>
          </w:tcPr>
          <w:p>
            <w:r>
              <w:rPr>
                <w:sz w:val="17"/>
              </w:rPr>
              <w:t>$1,500,000</w:t>
            </w:r>
          </w:p>
        </w:tc>
      </w:tr>
      <w:tr>
        <w:tc>
          <w:tcPr>
            <w:tcW w:type="dxa" w:w="2160"/>
          </w:tcPr>
          <w:p>
            <w:r>
              <w:rPr>
                <w:sz w:val="17"/>
              </w:rPr>
              <w:t>Other Buildings (3-6)</w:t>
            </w:r>
          </w:p>
        </w:tc>
        <w:tc>
          <w:tcPr>
            <w:tcW w:type="dxa" w:w="2160"/>
          </w:tcPr>
          <w:p>
            <w:r>
              <w:rPr>
                <w:sz w:val="17"/>
              </w:rPr>
              <w:t>$1,420,000</w:t>
            </w:r>
          </w:p>
        </w:tc>
        <w:tc>
          <w:tcPr>
            <w:tcW w:type="dxa" w:w="2160"/>
          </w:tcPr>
          <w:p>
            <w:r>
              <w:rPr>
                <w:sz w:val="17"/>
              </w:rPr>
              <w:t>—</w:t>
            </w:r>
          </w:p>
        </w:tc>
        <w:tc>
          <w:tcPr>
            <w:tcW w:type="dxa" w:w="2160"/>
          </w:tcPr>
          <w:p>
            <w:r>
              <w:rPr>
                <w:sz w:val="17"/>
              </w:rPr>
              <w:t>$1,420,000</w:t>
            </w:r>
          </w:p>
        </w:tc>
      </w:tr>
      <w:tr>
        <w:tc>
          <w:tcPr>
            <w:tcW w:type="dxa" w:w="2160"/>
          </w:tcPr>
          <w:p>
            <w:r>
              <w:rPr>
                <w:sz w:val="17"/>
              </w:rPr>
              <w:t>BPP / Contents (all bldgs)</w:t>
            </w:r>
          </w:p>
        </w:tc>
        <w:tc>
          <w:tcPr>
            <w:tcW w:type="dxa" w:w="2160"/>
          </w:tcPr>
          <w:p>
            <w:r>
              <w:rPr>
                <w:sz w:val="17"/>
              </w:rPr>
              <w:t>$2,180,000</w:t>
            </w:r>
          </w:p>
        </w:tc>
        <w:tc>
          <w:tcPr>
            <w:tcW w:type="dxa" w:w="2160"/>
          </w:tcPr>
          <w:p>
            <w:r>
              <w:rPr>
                <w:sz w:val="17"/>
              </w:rPr>
              <w:t>—</w:t>
            </w:r>
          </w:p>
        </w:tc>
        <w:tc>
          <w:tcPr>
            <w:tcW w:type="dxa" w:w="2160"/>
          </w:tcPr>
          <w:p>
            <w:r>
              <w:rPr>
                <w:sz w:val="17"/>
              </w:rPr>
              <w:t>$2,180,000</w:t>
            </w:r>
          </w:p>
        </w:tc>
      </w:tr>
      <w:tr>
        <w:tc>
          <w:tcPr>
            <w:tcW w:type="dxa" w:w="2160"/>
          </w:tcPr>
          <w:p>
            <w:r>
              <w:rPr>
                <w:sz w:val="17"/>
              </w:rPr>
              <w:t>Debris Removal</w:t>
            </w:r>
          </w:p>
        </w:tc>
        <w:tc>
          <w:tcPr>
            <w:tcW w:type="dxa" w:w="2160"/>
          </w:tcPr>
          <w:p>
            <w:r>
              <w:rPr>
                <w:sz w:val="17"/>
              </w:rPr>
              <w:t>$482,000</w:t>
            </w:r>
          </w:p>
        </w:tc>
        <w:tc>
          <w:tcPr>
            <w:tcW w:type="dxa" w:w="2160"/>
          </w:tcPr>
          <w:p>
            <w:r>
              <w:rPr>
                <w:sz w:val="17"/>
              </w:rPr>
              <w:t>Add'l limit:</w:t>
              <w:br/>
              <w:t>$500,000</w:t>
            </w:r>
          </w:p>
        </w:tc>
        <w:tc>
          <w:tcPr>
            <w:tcW w:type="dxa" w:w="2160"/>
          </w:tcPr>
          <w:p>
            <w:r>
              <w:rPr>
                <w:sz w:val="17"/>
              </w:rPr>
              <w:t>$482,000</w:t>
            </w:r>
          </w:p>
        </w:tc>
      </w:tr>
      <w:tr>
        <w:tc>
          <w:tcPr>
            <w:tcW w:type="dxa" w:w="2160"/>
          </w:tcPr>
          <w:p>
            <w:r>
              <w:rPr>
                <w:sz w:val="17"/>
              </w:rPr>
              <w:t>Business Income (5.5 months)</w:t>
            </w:r>
          </w:p>
        </w:tc>
        <w:tc>
          <w:tcPr>
            <w:tcW w:type="dxa" w:w="2160"/>
          </w:tcPr>
          <w:p>
            <w:r>
              <w:rPr>
                <w:sz w:val="17"/>
              </w:rPr>
              <w:t>$2,640,000</w:t>
            </w:r>
          </w:p>
        </w:tc>
        <w:tc>
          <w:tcPr>
            <w:tcW w:type="dxa" w:w="2160"/>
          </w:tcPr>
          <w:p>
            <w:r>
              <w:rPr>
                <w:sz w:val="17"/>
              </w:rPr>
              <w:t>72-hr wait</w:t>
              <w:br/>
              <w:t>applied</w:t>
            </w:r>
          </w:p>
        </w:tc>
        <w:tc>
          <w:tcPr>
            <w:tcW w:type="dxa" w:w="2160"/>
          </w:tcPr>
          <w:p>
            <w:r>
              <w:rPr>
                <w:sz w:val="17"/>
              </w:rPr>
              <w:t>$2,640,000</w:t>
            </w:r>
          </w:p>
        </w:tc>
      </w:tr>
      <w:tr>
        <w:tc>
          <w:tcPr>
            <w:tcW w:type="dxa" w:w="2160"/>
          </w:tcPr>
          <w:p>
            <w:r>
              <w:rPr>
                <w:sz w:val="17"/>
              </w:rPr>
              <w:t>Extra Expense</w:t>
            </w:r>
          </w:p>
        </w:tc>
        <w:tc>
          <w:tcPr>
            <w:tcW w:type="dxa" w:w="2160"/>
          </w:tcPr>
          <w:p>
            <w:r>
              <w:rPr>
                <w:sz w:val="17"/>
              </w:rPr>
              <w:t>$860,000</w:t>
            </w:r>
          </w:p>
        </w:tc>
        <w:tc>
          <w:tcPr>
            <w:tcW w:type="dxa" w:w="2160"/>
          </w:tcPr>
          <w:p>
            <w:r>
              <w:rPr>
                <w:sz w:val="17"/>
              </w:rPr>
              <w:t>Combined</w:t>
              <w:br/>
              <w:t>w/ BI sub:</w:t>
              <w:br/>
              <w:t>$3,500,000</w:t>
            </w:r>
          </w:p>
        </w:tc>
        <w:tc>
          <w:tcPr>
            <w:tcW w:type="dxa" w:w="2160"/>
          </w:tcPr>
          <w:p>
            <w:r>
              <w:rPr>
                <w:sz w:val="17"/>
              </w:rPr>
              <w:t>$860,000</w:t>
            </w:r>
          </w:p>
        </w:tc>
      </w:tr>
      <w:tr>
        <w:tc>
          <w:tcPr>
            <w:tcW w:type="dxa" w:w="2160"/>
          </w:tcPr>
          <w:p>
            <w:r>
              <w:rPr>
                <w:sz w:val="17"/>
              </w:rPr>
              <w:t>Ordinance or Law</w:t>
            </w:r>
          </w:p>
        </w:tc>
        <w:tc>
          <w:tcPr>
            <w:tcW w:type="dxa" w:w="2160"/>
          </w:tcPr>
          <w:p>
            <w:r>
              <w:rPr>
                <w:sz w:val="17"/>
              </w:rPr>
              <w:t>$550,000</w:t>
            </w:r>
          </w:p>
        </w:tc>
        <w:tc>
          <w:tcPr>
            <w:tcW w:type="dxa" w:w="2160"/>
          </w:tcPr>
          <w:p>
            <w:r>
              <w:rPr>
                <w:sz w:val="17"/>
              </w:rPr>
              <w:t>Sublimit:</w:t>
              <w:br/>
              <w:t>$1,250,000</w:t>
            </w:r>
          </w:p>
        </w:tc>
        <w:tc>
          <w:tcPr>
            <w:tcW w:type="dxa" w:w="2160"/>
          </w:tcPr>
          <w:p>
            <w:r>
              <w:rPr>
                <w:sz w:val="17"/>
              </w:rPr>
              <w:t>$550,000</w:t>
            </w:r>
          </w:p>
        </w:tc>
      </w:tr>
      <w:tr>
        <w:tc>
          <w:tcPr>
            <w:tcW w:type="dxa" w:w="2160"/>
          </w:tcPr>
          <w:p>
            <w:r>
              <w:rPr>
                <w:sz w:val="17"/>
              </w:rPr>
              <w:t>Emergency Board-Up / Tarping</w:t>
            </w:r>
          </w:p>
        </w:tc>
        <w:tc>
          <w:tcPr>
            <w:tcW w:type="dxa" w:w="2160"/>
          </w:tcPr>
          <w:p>
            <w:r>
              <w:rPr>
                <w:sz w:val="17"/>
              </w:rPr>
              <w:t>$148,000</w:t>
            </w:r>
          </w:p>
        </w:tc>
        <w:tc>
          <w:tcPr>
            <w:tcW w:type="dxa" w:w="2160"/>
          </w:tcPr>
          <w:p>
            <w:r>
              <w:rPr>
                <w:sz w:val="17"/>
              </w:rPr>
              <w:t>Sue &amp; Labor</w:t>
            </w:r>
          </w:p>
        </w:tc>
        <w:tc>
          <w:tcPr>
            <w:tcW w:type="dxa" w:w="2160"/>
          </w:tcPr>
          <w:p>
            <w:r>
              <w:rPr>
                <w:sz w:val="17"/>
              </w:rPr>
              <w:t>$148,000</w:t>
            </w:r>
          </w:p>
        </w:tc>
      </w:tr>
      <w:tr>
        <w:tc>
          <w:tcPr>
            <w:tcW w:type="dxa" w:w="2160"/>
          </w:tcPr>
          <w:p>
            <w:r>
              <w:rPr>
                <w:b/>
                <w:sz w:val="17"/>
              </w:rPr>
              <w:t>TOTAL</w:t>
            </w:r>
          </w:p>
        </w:tc>
        <w:tc>
          <w:tcPr>
            <w:tcW w:type="dxa" w:w="2160"/>
          </w:tcPr>
          <w:p>
            <w:r>
              <w:rPr>
                <w:b/>
                <w:sz w:val="17"/>
              </w:rPr>
              <w:t>$18,690,000</w:t>
            </w:r>
          </w:p>
        </w:tc>
        <w:tc>
          <w:tcPr>
            <w:tcW w:type="dxa" w:w="2160"/>
          </w:tcPr>
          <w:p>
            <w:r>
              <w:rPr>
                <w:b/>
                <w:sz w:val="17"/>
              </w:rPr>
              <w:t>Various</w:t>
            </w:r>
          </w:p>
        </w:tc>
        <w:tc>
          <w:tcPr>
            <w:tcW w:type="dxa" w:w="2160"/>
          </w:tcPr>
          <w:p>
            <w:r>
              <w:rPr>
                <w:b/>
                <w:sz w:val="17"/>
              </w:rPr>
              <w:t>$16,720,000</w:t>
            </w:r>
          </w:p>
        </w:tc>
      </w:tr>
    </w:tbl>
    <w:p/>
    <w:p>
      <w:pPr>
        <w:spacing w:after="120"/>
      </w:pPr>
      <w:r>
        <w:rPr>
          <w:b/>
          <w:color w:val="334155"/>
          <w:sz w:val="20"/>
        </w:rPr>
        <w:t>COVERAGE GAP ANALYSIS:</w:t>
      </w:r>
    </w:p>
    <w:p>
      <w:pPr>
        <w:spacing w:after="120"/>
      </w:pPr>
      <w:r>
        <w:rPr>
          <w:b w:val="0"/>
          <w:color w:val="334155"/>
          <w:sz w:val="20"/>
        </w:rPr>
        <w:t xml:space="preserve">  - Marina excess above sublimit: $240,000 — NOT COVERED (recommend sublimit increase at renewal)</w:t>
      </w:r>
    </w:p>
    <w:p>
      <w:pPr>
        <w:spacing w:after="120"/>
      </w:pPr>
      <w:r>
        <w:rPr>
          <w:b w:val="0"/>
          <w:color w:val="334155"/>
          <w:sz w:val="20"/>
        </w:rPr>
        <w:t xml:space="preserve">  - Named Storm deductible impact: $1,010,000 — insured bears this cost</w:t>
      </w:r>
    </w:p>
    <w:p>
      <w:pPr>
        <w:spacing w:after="120"/>
      </w:pPr>
      <w:r>
        <w:rPr>
          <w:b w:val="0"/>
          <w:color w:val="334155"/>
          <w:sz w:val="20"/>
        </w:rPr>
        <w:t xml:space="preserve">  - Flood deductible: $500,000 — insured bears this cost</w:t>
      </w:r>
    </w:p>
    <w:p>
      <w:pPr>
        <w:spacing w:after="120"/>
      </w:pPr>
      <w:r>
        <w:rPr>
          <w:b w:val="0"/>
          <w:color w:val="334155"/>
          <w:sz w:val="20"/>
        </w:rPr>
        <w:t xml:space="preserve">  - Business Income approaching sublimit: $3,500,000 (current claim: $3,500,000) — if restoration exceeds 5.5 months, additional BI losses will be UNINSURED</w:t>
      </w:r>
    </w:p>
    <w:p>
      <w:pPr>
        <w:spacing w:after="120"/>
      </w:pPr>
      <w:r>
        <w:rPr>
          <w:b w:val="0"/>
          <w:color w:val="334155"/>
          <w:sz w:val="20"/>
        </w:rPr>
        <w:t xml:space="preserve">  - Code upgrade costs (O&amp;L): $550,000 estimated, well within $1,250,000 sublimit — ADEQUATELY COVERED</w:t>
      </w:r>
    </w:p>
    <w:p>
      <w:pPr>
        <w:spacing w:after="120"/>
      </w:pPr>
      <w:r>
        <w:rPr>
          <w:b w:val="0"/>
          <w:color w:val="334155"/>
          <w:sz w:val="20"/>
        </w:rPr>
        <w:t xml:space="preserve">  - Total building damage ($12,970,000) approaches building limit ($12,500,000) — potential $470,000 shortfall if additional damage discovered during reconstruction</w:t>
      </w:r>
    </w:p>
    <w:p>
      <w:r>
        <w:br w:type="page"/>
      </w:r>
    </w:p>
    <w:p>
      <w:pPr>
        <w:pStyle w:val="Heading2"/>
      </w:pPr>
      <w:r>
        <w:rPr>
          <w:color w:val="00205B"/>
        </w:rPr>
        <w:t>Wind vs. Water Causation Analysis</w:t>
      </w:r>
    </w:p>
    <w:p>
      <w:pPr>
        <w:spacing w:after="120"/>
      </w:pPr>
      <w:r>
        <w:rPr>
          <w:b w:val="0"/>
          <w:color w:val="334155"/>
          <w:sz w:val="20"/>
        </w:rPr>
        <w:t>Prepared by: Haag Engineering Company — Forensic Meteorology Division</w:t>
      </w:r>
    </w:p>
    <w:p>
      <w:pPr>
        <w:spacing w:after="120"/>
      </w:pPr>
      <w:r>
        <w:rPr>
          <w:b w:val="0"/>
          <w:color w:val="334155"/>
          <w:sz w:val="20"/>
        </w:rPr>
        <w:t>The causation of damage at Crescent Bay Resort requires careful allocation between wind (covered under Named Storm provisions) and water/flood (subject to separate sublimit and deductible). Haag Engineering conducted on-site inspection on 09/18-19/2025 and reviewed the following data sources:</w:t>
      </w:r>
    </w:p>
    <w:p>
      <w:pPr>
        <w:spacing w:after="120"/>
      </w:pPr>
      <w:r>
        <w:rPr>
          <w:b w:val="0"/>
          <w:color w:val="334155"/>
          <w:sz w:val="20"/>
        </w:rPr>
        <w:t xml:space="preserve">  USGS storm surge gauge data (#02310947) — peak surge 10.4 ft NAVD88</w:t>
      </w:r>
    </w:p>
    <w:p>
      <w:pPr>
        <w:spacing w:after="120"/>
      </w:pPr>
      <w:r>
        <w:rPr>
          <w:b w:val="0"/>
          <w:color w:val="334155"/>
          <w:sz w:val="20"/>
        </w:rPr>
        <w:t xml:space="preserve">  NOAA buoy data (Station 42036) — peak sustained wind 105 mph, gusts 128 mph</w:t>
      </w:r>
    </w:p>
    <w:p>
      <w:pPr>
        <w:spacing w:after="120"/>
      </w:pPr>
      <w:r>
        <w:rPr>
          <w:b w:val="0"/>
          <w:color w:val="334155"/>
          <w:sz w:val="20"/>
        </w:rPr>
        <w:t xml:space="preserve">  Florida Automated Weather Network (FAWN) station at Lecanto — peak gust 118 mph</w:t>
      </w:r>
    </w:p>
    <w:p>
      <w:pPr>
        <w:spacing w:after="120"/>
      </w:pPr>
      <w:r>
        <w:rPr>
          <w:b w:val="0"/>
          <w:color w:val="334155"/>
          <w:sz w:val="20"/>
        </w:rPr>
        <w:t xml:space="preserve">  ASCE 7-22 wind speed analysis for Risk Category III structures</w:t>
      </w:r>
    </w:p>
    <w:p>
      <w:pPr>
        <w:spacing w:after="120"/>
      </w:pPr>
      <w:r>
        <w:rPr>
          <w:b w:val="0"/>
          <w:color w:val="334155"/>
          <w:sz w:val="20"/>
        </w:rPr>
        <w:t xml:space="preserve">  Insured's pre-storm video documentation (time-stamped 09/11/2025)</w:t>
      </w:r>
    </w:p>
    <w:p>
      <w:pPr>
        <w:spacing w:after="120"/>
      </w:pPr>
      <w:r>
        <w:rPr>
          <w:b w:val="0"/>
          <w:color w:val="334155"/>
          <w:sz w:val="20"/>
        </w:rPr>
        <w:t xml:space="preserve">  Satellite imagery (Maxar/Planet Labs) — pre-storm (09/10) and post-storm (09/13)</w:t>
      </w:r>
    </w:p>
    <w:p>
      <w:pPr>
        <w:spacing w:after="120"/>
      </w:pPr>
      <w:r>
        <w:rPr>
          <w:b/>
          <w:color w:val="334155"/>
          <w:sz w:val="20"/>
        </w:rPr>
        <w:br/>
        <w:t>FINDINGS:</w:t>
      </w:r>
    </w:p>
    <w:p>
      <w:pPr>
        <w:spacing w:after="120"/>
      </w:pPr>
      <w:r>
        <w:rPr>
          <w:b w:val="0"/>
          <w:color w:val="334155"/>
          <w:sz w:val="20"/>
        </w:rPr>
        <w:t>Based on high-water marks, debris field analysis, structural damage patterns, and the timeline of storm conditions, Haag Engineering concludes the following causation allocation:</w:t>
      </w:r>
    </w:p>
    <w:tbl>
      <w:tblPr>
        <w:tblStyle w:val="TableGrid"/>
        <w:tblW w:type="auto" w:w="0"/>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Building / Component</w:t>
            </w:r>
          </w:p>
        </w:tc>
        <w:tc>
          <w:tcPr>
            <w:tcW w:type="dxa" w:w="2880"/>
            <w:shd w:fill="00205B"/>
          </w:tcPr>
          <w:p>
            <w:pPr>
              <w:jc w:val="center"/>
            </w:pPr>
            <w:r>
              <w:rPr>
                <w:b/>
                <w:color w:val="FFFFFF"/>
                <w:sz w:val="18"/>
              </w:rPr>
              <w:t>Wind %</w:t>
            </w:r>
          </w:p>
        </w:tc>
        <w:tc>
          <w:tcPr>
            <w:tcW w:type="dxa" w:w="2880"/>
            <w:shd w:fill="00205B"/>
          </w:tcPr>
          <w:p>
            <w:pPr>
              <w:jc w:val="center"/>
            </w:pPr>
            <w:r>
              <w:rPr>
                <w:b/>
                <w:color w:val="FFFFFF"/>
                <w:sz w:val="18"/>
              </w:rPr>
              <w:t>Water %</w:t>
            </w:r>
          </w:p>
        </w:tc>
      </w:tr>
      <w:tr>
        <w:tc>
          <w:tcPr>
            <w:tcW w:type="dxa" w:w="2880"/>
          </w:tcPr>
          <w:p>
            <w:r>
              <w:rPr>
                <w:sz w:val="18"/>
              </w:rPr>
              <w:t>Building 1 — Roof &amp; Upper Floors</w:t>
            </w:r>
          </w:p>
        </w:tc>
        <w:tc>
          <w:tcPr>
            <w:tcW w:type="dxa" w:w="2880"/>
          </w:tcPr>
          <w:p>
            <w:r>
              <w:rPr>
                <w:sz w:val="18"/>
              </w:rPr>
              <w:t>95%</w:t>
            </w:r>
          </w:p>
        </w:tc>
        <w:tc>
          <w:tcPr>
            <w:tcW w:type="dxa" w:w="2880"/>
          </w:tcPr>
          <w:p>
            <w:r>
              <w:rPr>
                <w:sz w:val="18"/>
              </w:rPr>
              <w:t>5%</w:t>
            </w:r>
          </w:p>
        </w:tc>
      </w:tr>
      <w:tr>
        <w:tc>
          <w:tcPr>
            <w:tcW w:type="dxa" w:w="2880"/>
          </w:tcPr>
          <w:p>
            <w:r>
              <w:rPr>
                <w:sz w:val="18"/>
              </w:rPr>
              <w:t>Building 1 — Ground Floor</w:t>
            </w:r>
          </w:p>
        </w:tc>
        <w:tc>
          <w:tcPr>
            <w:tcW w:type="dxa" w:w="2880"/>
          </w:tcPr>
          <w:p>
            <w:r>
              <w:rPr>
                <w:sz w:val="18"/>
              </w:rPr>
              <w:t>15%</w:t>
            </w:r>
          </w:p>
        </w:tc>
        <w:tc>
          <w:tcPr>
            <w:tcW w:type="dxa" w:w="2880"/>
          </w:tcPr>
          <w:p>
            <w:r>
              <w:rPr>
                <w:sz w:val="18"/>
              </w:rPr>
              <w:t>85%</w:t>
            </w:r>
          </w:p>
        </w:tc>
      </w:tr>
      <w:tr>
        <w:tc>
          <w:tcPr>
            <w:tcW w:type="dxa" w:w="2880"/>
          </w:tcPr>
          <w:p>
            <w:r>
              <w:rPr>
                <w:sz w:val="18"/>
              </w:rPr>
              <w:t>Building 2 — Conference Center</w:t>
            </w:r>
          </w:p>
        </w:tc>
        <w:tc>
          <w:tcPr>
            <w:tcW w:type="dxa" w:w="2880"/>
          </w:tcPr>
          <w:p>
            <w:r>
              <w:rPr>
                <w:sz w:val="18"/>
              </w:rPr>
              <w:t>80%</w:t>
            </w:r>
          </w:p>
        </w:tc>
        <w:tc>
          <w:tcPr>
            <w:tcW w:type="dxa" w:w="2880"/>
          </w:tcPr>
          <w:p>
            <w:r>
              <w:rPr>
                <w:sz w:val="18"/>
              </w:rPr>
              <w:t>20%</w:t>
            </w:r>
          </w:p>
        </w:tc>
      </w:tr>
      <w:tr>
        <w:tc>
          <w:tcPr>
            <w:tcW w:type="dxa" w:w="2880"/>
          </w:tcPr>
          <w:p>
            <w:r>
              <w:rPr>
                <w:sz w:val="18"/>
              </w:rPr>
              <w:t>Marina &amp; Pier</w:t>
            </w:r>
          </w:p>
        </w:tc>
        <w:tc>
          <w:tcPr>
            <w:tcW w:type="dxa" w:w="2880"/>
          </w:tcPr>
          <w:p>
            <w:r>
              <w:rPr>
                <w:sz w:val="18"/>
              </w:rPr>
              <w:t>25%</w:t>
            </w:r>
          </w:p>
        </w:tc>
        <w:tc>
          <w:tcPr>
            <w:tcW w:type="dxa" w:w="2880"/>
          </w:tcPr>
          <w:p>
            <w:r>
              <w:rPr>
                <w:sz w:val="18"/>
              </w:rPr>
              <w:t>75%</w:t>
            </w:r>
          </w:p>
        </w:tc>
      </w:tr>
      <w:tr>
        <w:tc>
          <w:tcPr>
            <w:tcW w:type="dxa" w:w="2880"/>
          </w:tcPr>
          <w:p>
            <w:r>
              <w:rPr>
                <w:sz w:val="18"/>
              </w:rPr>
              <w:t>Other Buildings (above 1st floor)</w:t>
            </w:r>
          </w:p>
        </w:tc>
        <w:tc>
          <w:tcPr>
            <w:tcW w:type="dxa" w:w="2880"/>
          </w:tcPr>
          <w:p>
            <w:r>
              <w:rPr>
                <w:sz w:val="18"/>
              </w:rPr>
              <w:t>90%</w:t>
            </w:r>
          </w:p>
        </w:tc>
        <w:tc>
          <w:tcPr>
            <w:tcW w:type="dxa" w:w="2880"/>
          </w:tcPr>
          <w:p>
            <w:r>
              <w:rPr>
                <w:sz w:val="18"/>
              </w:rPr>
              <w:t>10%</w:t>
            </w:r>
          </w:p>
        </w:tc>
      </w:tr>
      <w:tr>
        <w:tc>
          <w:tcPr>
            <w:tcW w:type="dxa" w:w="2880"/>
          </w:tcPr>
          <w:p>
            <w:r>
              <w:rPr>
                <w:sz w:val="18"/>
              </w:rPr>
              <w:t>Other Buildings (ground floor)</w:t>
            </w:r>
          </w:p>
        </w:tc>
        <w:tc>
          <w:tcPr>
            <w:tcW w:type="dxa" w:w="2880"/>
          </w:tcPr>
          <w:p>
            <w:r>
              <w:rPr>
                <w:sz w:val="18"/>
              </w:rPr>
              <w:t>20%</w:t>
            </w:r>
          </w:p>
        </w:tc>
        <w:tc>
          <w:tcPr>
            <w:tcW w:type="dxa" w:w="2880"/>
          </w:tcPr>
          <w:p>
            <w:r>
              <w:rPr>
                <w:sz w:val="18"/>
              </w:rPr>
              <w:t>80%</w:t>
            </w:r>
          </w:p>
        </w:tc>
      </w:tr>
      <w:tr>
        <w:tc>
          <w:tcPr>
            <w:tcW w:type="dxa" w:w="2880"/>
          </w:tcPr>
          <w:p>
            <w:r>
              <w:rPr>
                <w:sz w:val="18"/>
              </w:rPr>
              <w:t>Site Improvements &amp; Landscaping</w:t>
            </w:r>
          </w:p>
        </w:tc>
        <w:tc>
          <w:tcPr>
            <w:tcW w:type="dxa" w:w="2880"/>
          </w:tcPr>
          <w:p>
            <w:r>
              <w:rPr>
                <w:sz w:val="18"/>
              </w:rPr>
              <w:t>40%</w:t>
            </w:r>
          </w:p>
        </w:tc>
        <w:tc>
          <w:tcPr>
            <w:tcW w:type="dxa" w:w="2880"/>
          </w:tcPr>
          <w:p>
            <w:r>
              <w:rPr>
                <w:sz w:val="18"/>
              </w:rPr>
              <w:t>60%</w:t>
            </w:r>
          </w:p>
        </w:tc>
      </w:tr>
    </w:tbl>
    <w:p/>
    <w:p>
      <w:pPr>
        <w:spacing w:after="120"/>
      </w:pPr>
      <w:r>
        <w:rPr>
          <w:b w:val="0"/>
          <w:color w:val="334155"/>
          <w:sz w:val="20"/>
        </w:rPr>
        <w:t>NOTE: The anti-concurrent causation clause in the Named Storm endorsement provides that where wind and water damage cannot be separated, the loss is subject to the higher deductible. However, Haag Engineering's analysis provides a defensible allocation that AIG recommends adopting for claim adjustment purposes, subject to insured agreement.</w:t>
      </w:r>
    </w:p>
    <w:p/>
    <w:p>
      <w:pPr>
        <w:pStyle w:val="Heading2"/>
      </w:pPr>
      <w:r>
        <w:rPr>
          <w:color w:val="00205B"/>
        </w:rPr>
        <w:t>Adjuster Recommendations &amp; Next Steps</w:t>
      </w:r>
    </w:p>
    <w:p>
      <w:pPr>
        <w:spacing w:after="120"/>
      </w:pPr>
      <w:r>
        <w:rPr>
          <w:b w:val="0"/>
          <w:color w:val="334155"/>
          <w:sz w:val="20"/>
        </w:rPr>
        <w:t>1. Complete structural engineering report (WJE) — expected by 02/28/2026</w:t>
      </w:r>
    </w:p>
    <w:p>
      <w:pPr>
        <w:spacing w:after="120"/>
      </w:pPr>
      <w:r>
        <w:rPr>
          <w:b w:val="0"/>
          <w:color w:val="334155"/>
          <w:sz w:val="20"/>
        </w:rPr>
        <w:t>2. Finalize wind/water causation allocation with insured and mortgagee</w:t>
      </w:r>
    </w:p>
    <w:p>
      <w:pPr>
        <w:spacing w:after="120"/>
      </w:pPr>
      <w:r>
        <w:rPr>
          <w:b w:val="0"/>
          <w:color w:val="334155"/>
          <w:sz w:val="20"/>
        </w:rPr>
        <w:t>3. Issue advance payment of $5,000,000 (undisputed wind damage) pending final adjustment</w:t>
      </w:r>
    </w:p>
    <w:p>
      <w:pPr>
        <w:spacing w:after="120"/>
      </w:pPr>
      <w:r>
        <w:rPr>
          <w:b w:val="0"/>
          <w:color w:val="334155"/>
          <w:sz w:val="20"/>
        </w:rPr>
        <w:t>4. Engage replacement cost estimator for Building 1 renovation scope</w:t>
      </w:r>
    </w:p>
    <w:p>
      <w:pPr>
        <w:spacing w:after="120"/>
      </w:pPr>
      <w:r>
        <w:rPr>
          <w:b w:val="0"/>
          <w:color w:val="334155"/>
          <w:sz w:val="20"/>
        </w:rPr>
        <w:t>5. Monitor Business Income claim — insured projects reopening 03/15/2026 (partial) and 06/01/2026 (full)</w:t>
      </w:r>
    </w:p>
    <w:p>
      <w:pPr>
        <w:spacing w:after="120"/>
      </w:pPr>
      <w:r>
        <w:rPr>
          <w:b w:val="0"/>
          <w:color w:val="334155"/>
          <w:sz w:val="20"/>
        </w:rPr>
        <w:t>6. Coordinate with excess carrier (Chubb) if building damage exceeds primary limit</w:t>
      </w:r>
    </w:p>
    <w:p>
      <w:pPr>
        <w:spacing w:after="120"/>
      </w:pPr>
      <w:r>
        <w:rPr>
          <w:b w:val="0"/>
          <w:color w:val="334155"/>
          <w:sz w:val="20"/>
        </w:rPr>
        <w:t>7. Review Ordinance or Law requirements with Citrus County Building Department</w:t>
      </w:r>
    </w:p>
    <w:p>
      <w:pPr>
        <w:spacing w:after="120"/>
      </w:pPr>
      <w:r>
        <w:rPr>
          <w:b w:val="0"/>
          <w:color w:val="334155"/>
          <w:sz w:val="20"/>
        </w:rPr>
        <w:t>8. File subrogation potential against roof tile installer (warranty/installation deficiency)</w:t>
      </w:r>
    </w:p>
    <w:p>
      <w:pPr>
        <w:spacing w:after="120"/>
      </w:pPr>
      <w:r>
        <w:rPr>
          <w:b w:val="0"/>
          <w:color w:val="334155"/>
          <w:sz w:val="20"/>
        </w:rPr>
        <w:t>9. DEP clearance required before marina fuel dock reconstruction</w:t>
      </w:r>
    </w:p>
    <w:p>
      <w:pPr>
        <w:spacing w:after="120"/>
      </w:pPr>
      <w:r>
        <w:rPr>
          <w:b w:val="0"/>
          <w:color w:val="334155"/>
          <w:sz w:val="20"/>
        </w:rPr>
        <w:t>10. Reinsurance bordereaux update — Treaty XL-2025-004, AIG retention: $5,000,000</w:t>
      </w:r>
    </w:p>
    <w:p/>
    <w:p>
      <w:r>
        <w:rPr>
          <w:i/>
          <w:color w:val="64748B"/>
          <w:sz w:val="17"/>
        </w:rPr>
        <w:t>Report prepared by: Thomas Brennan, Senior Complex Claims Adjuster, AIG CAT Response Team. This report is confidential and prepared for internal claim management purposes only. All figures are preliminary estimates subject to final adjustment.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