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205B"/>
        </w:rPr>
        <w:t>Directors &amp; Officers + Fiduciary Liability</w:t>
      </w:r>
    </w:p>
    <w:p>
      <w:r>
        <w:rPr>
          <w:color w:val="64748B"/>
          <w:sz w:val="20"/>
        </w:rPr>
        <w:t>Claims-Made and Reported Policy</w:t>
        <w:br/>
        <w:t>Policy No: AIG-DO-2026-PH-55821  |  Fiduciary: AIG-FID-2026-PH-55822</w:t>
        <w:br/>
        <w:t>Pinnacle Healthcare Systems, Inc.</w:t>
        <w:br/>
        <w:t>Effective: 01/01/2026 — 01/01/2027</w:t>
      </w:r>
    </w:p>
    <w:p/>
    <w:p>
      <w:pPr>
        <w:pStyle w:val="Heading2"/>
      </w:pPr>
      <w:r>
        <w:rPr>
          <w:color w:val="00205B"/>
        </w:rPr>
        <w:t>Part I — Declarations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Named Insured (Organization)</w:t>
            </w:r>
          </w:p>
        </w:tc>
        <w:tc>
          <w:tcPr>
            <w:tcW w:type="dxa" w:w="4320"/>
          </w:tcPr>
          <w:p>
            <w:r>
              <w:rPr>
                <w:sz w:val="18"/>
              </w:rPr>
              <w:t>Pinnacle Healthcare Systems, Inc.</w:t>
            </w:r>
          </w:p>
        </w:tc>
      </w:tr>
      <w:tr>
        <w:tc>
          <w:tcPr>
            <w:tcW w:type="dxa" w:w="4320"/>
          </w:tcPr>
          <w:p>
            <w:r>
              <w:rPr>
                <w:b/>
                <w:sz w:val="18"/>
              </w:rPr>
              <w:t>Subsidiaries</w:t>
            </w:r>
          </w:p>
        </w:tc>
        <w:tc>
          <w:tcPr>
            <w:tcW w:type="dxa" w:w="4320"/>
          </w:tcPr>
          <w:p>
            <w:r>
              <w:rPr>
                <w:sz w:val="18"/>
              </w:rPr>
              <w:t>Pinnacle Medical Group, P.A.</w:t>
              <w:br/>
              <w:t>Pinnacle Surgery Centers, LLC (12 locations)</w:t>
              <w:br/>
              <w:t>Pinnacle Home Health Services, Inc.</w:t>
              <w:br/>
              <w:t>Pinnacle Health IT Solutions, LLC</w:t>
              <w:br/>
              <w:t>Pinnacle Physician Staffing, Inc.</w:t>
              <w:br/>
              <w:t>Pinnacle Healthcare Foundation (501(c)(3))</w:t>
            </w:r>
          </w:p>
        </w:tc>
      </w:tr>
      <w:tr>
        <w:tc>
          <w:tcPr>
            <w:tcW w:type="dxa" w:w="4320"/>
          </w:tcPr>
          <w:p>
            <w:r>
              <w:rPr>
                <w:b/>
                <w:sz w:val="18"/>
              </w:rPr>
              <w:t>State of Incorporation</w:t>
            </w:r>
          </w:p>
        </w:tc>
        <w:tc>
          <w:tcPr>
            <w:tcW w:type="dxa" w:w="4320"/>
          </w:tcPr>
          <w:p>
            <w:r>
              <w:rPr>
                <w:sz w:val="18"/>
              </w:rPr>
              <w:t>Delaware</w:t>
            </w:r>
          </w:p>
        </w:tc>
      </w:tr>
      <w:tr>
        <w:tc>
          <w:tcPr>
            <w:tcW w:type="dxa" w:w="4320"/>
          </w:tcPr>
          <w:p>
            <w:r>
              <w:rPr>
                <w:b/>
                <w:sz w:val="18"/>
              </w:rPr>
              <w:t>Publicly Traded?</w:t>
            </w:r>
          </w:p>
        </w:tc>
        <w:tc>
          <w:tcPr>
            <w:tcW w:type="dxa" w:w="4320"/>
          </w:tcPr>
          <w:p>
            <w:r>
              <w:rPr>
                <w:sz w:val="18"/>
              </w:rPr>
              <w:t>Yes — NYSE: PNHL (Market Cap: $4.2B as of 12/31/2025)</w:t>
            </w:r>
          </w:p>
        </w:tc>
      </w:tr>
      <w:tr>
        <w:tc>
          <w:tcPr>
            <w:tcW w:type="dxa" w:w="4320"/>
          </w:tcPr>
          <w:p>
            <w:r>
              <w:rPr>
                <w:b/>
                <w:sz w:val="18"/>
              </w:rPr>
              <w:t>Annual Revenue</w:t>
            </w:r>
          </w:p>
        </w:tc>
        <w:tc>
          <w:tcPr>
            <w:tcW w:type="dxa" w:w="4320"/>
          </w:tcPr>
          <w:p>
            <w:r>
              <w:rPr>
                <w:sz w:val="18"/>
              </w:rPr>
              <w:t>$3.84 Billion (FY 2025)</w:t>
            </w:r>
          </w:p>
        </w:tc>
      </w:tr>
      <w:tr>
        <w:tc>
          <w:tcPr>
            <w:tcW w:type="dxa" w:w="4320"/>
          </w:tcPr>
          <w:p>
            <w:r>
              <w:rPr>
                <w:b/>
                <w:sz w:val="18"/>
              </w:rPr>
              <w:t>Total Assets</w:t>
            </w:r>
          </w:p>
        </w:tc>
        <w:tc>
          <w:tcPr>
            <w:tcW w:type="dxa" w:w="4320"/>
          </w:tcPr>
          <w:p>
            <w:r>
              <w:rPr>
                <w:sz w:val="18"/>
              </w:rPr>
              <w:t>$6.12 Billion</w:t>
            </w:r>
          </w:p>
        </w:tc>
      </w:tr>
      <w:tr>
        <w:tc>
          <w:tcPr>
            <w:tcW w:type="dxa" w:w="4320"/>
          </w:tcPr>
          <w:p>
            <w:r>
              <w:rPr>
                <w:b/>
                <w:sz w:val="18"/>
              </w:rPr>
              <w:t>Total Employees</w:t>
            </w:r>
          </w:p>
        </w:tc>
        <w:tc>
          <w:tcPr>
            <w:tcW w:type="dxa" w:w="4320"/>
          </w:tcPr>
          <w:p>
            <w:r>
              <w:rPr>
                <w:sz w:val="18"/>
              </w:rPr>
              <w:t>18,420 (including 2,840 physicians)</w:t>
            </w:r>
          </w:p>
        </w:tc>
      </w:tr>
      <w:tr>
        <w:tc>
          <w:tcPr>
            <w:tcW w:type="dxa" w:w="4320"/>
          </w:tcPr>
          <w:p>
            <w:r>
              <w:rPr>
                <w:b/>
                <w:sz w:val="18"/>
              </w:rPr>
              <w:t>Board of Directors</w:t>
            </w:r>
          </w:p>
        </w:tc>
        <w:tc>
          <w:tcPr>
            <w:tcW w:type="dxa" w:w="4320"/>
          </w:tcPr>
          <w:p>
            <w:r>
              <w:rPr>
                <w:sz w:val="18"/>
              </w:rPr>
              <w:t>11 members (8 independent, 3 management)</w:t>
            </w:r>
          </w:p>
        </w:tc>
      </w:tr>
      <w:tr>
        <w:tc>
          <w:tcPr>
            <w:tcW w:type="dxa" w:w="4320"/>
          </w:tcPr>
          <w:p>
            <w:r>
              <w:rPr>
                <w:b/>
                <w:sz w:val="18"/>
              </w:rPr>
              <w:t>D&amp;O Limit of Liability</w:t>
            </w:r>
          </w:p>
        </w:tc>
        <w:tc>
          <w:tcPr>
            <w:tcW w:type="dxa" w:w="4320"/>
          </w:tcPr>
          <w:p>
            <w:r>
              <w:rPr>
                <w:sz w:val="18"/>
              </w:rPr>
              <w:t>$15,000,000 per claim and annual aggregate</w:t>
              <w:br/>
              <w:t>(Shared across Side A, B, and C)</w:t>
            </w:r>
          </w:p>
        </w:tc>
      </w:tr>
      <w:tr>
        <w:tc>
          <w:tcPr>
            <w:tcW w:type="dxa" w:w="4320"/>
          </w:tcPr>
          <w:p>
            <w:r>
              <w:rPr>
                <w:b/>
                <w:sz w:val="18"/>
              </w:rPr>
              <w:t>Side A (Non-Indemnifiable)</w:t>
            </w:r>
          </w:p>
        </w:tc>
        <w:tc>
          <w:tcPr>
            <w:tcW w:type="dxa" w:w="4320"/>
          </w:tcPr>
          <w:p>
            <w:r>
              <w:rPr>
                <w:sz w:val="18"/>
              </w:rPr>
              <w:t>$15,000,000 — No retention</w:t>
            </w:r>
          </w:p>
        </w:tc>
      </w:tr>
      <w:tr>
        <w:tc>
          <w:tcPr>
            <w:tcW w:type="dxa" w:w="4320"/>
          </w:tcPr>
          <w:p>
            <w:r>
              <w:rPr>
                <w:b/>
                <w:sz w:val="18"/>
              </w:rPr>
              <w:t>Side B (Corporate Reimbursement)</w:t>
            </w:r>
          </w:p>
        </w:tc>
        <w:tc>
          <w:tcPr>
            <w:tcW w:type="dxa" w:w="4320"/>
          </w:tcPr>
          <w:p>
            <w:r>
              <w:rPr>
                <w:sz w:val="18"/>
              </w:rPr>
              <w:t>$15,000,000 — $500,000 corporate retention per claim</w:t>
            </w:r>
          </w:p>
        </w:tc>
      </w:tr>
      <w:tr>
        <w:tc>
          <w:tcPr>
            <w:tcW w:type="dxa" w:w="4320"/>
          </w:tcPr>
          <w:p>
            <w:r>
              <w:rPr>
                <w:b/>
                <w:sz w:val="18"/>
              </w:rPr>
              <w:t>Side C (Entity Securities)</w:t>
            </w:r>
          </w:p>
        </w:tc>
        <w:tc>
          <w:tcPr>
            <w:tcW w:type="dxa" w:w="4320"/>
          </w:tcPr>
          <w:p>
            <w:r>
              <w:rPr>
                <w:sz w:val="18"/>
              </w:rPr>
              <w:t>$15,000,000 — $1,000,000 corporate retention per claim</w:t>
              <w:br/>
              <w:t>Sublimit: $7,500,000 for entity-only securities claims</w:t>
            </w:r>
          </w:p>
        </w:tc>
      </w:tr>
      <w:tr>
        <w:tc>
          <w:tcPr>
            <w:tcW w:type="dxa" w:w="4320"/>
          </w:tcPr>
          <w:p>
            <w:r>
              <w:rPr>
                <w:b/>
                <w:sz w:val="18"/>
              </w:rPr>
              <w:t>Fiduciary Liability Limit</w:t>
            </w:r>
          </w:p>
        </w:tc>
        <w:tc>
          <w:tcPr>
            <w:tcW w:type="dxa" w:w="4320"/>
          </w:tcPr>
          <w:p>
            <w:r>
              <w:rPr>
                <w:sz w:val="18"/>
              </w:rPr>
              <w:t>$5,000,000 per claim and aggregate</w:t>
              <w:br/>
              <w:t>$25,000 retention per claim</w:t>
            </w:r>
          </w:p>
        </w:tc>
      </w:tr>
      <w:tr>
        <w:tc>
          <w:tcPr>
            <w:tcW w:type="dxa" w:w="4320"/>
          </w:tcPr>
          <w:p>
            <w:r>
              <w:rPr>
                <w:b/>
                <w:sz w:val="18"/>
              </w:rPr>
              <w:t>Retroactive Date</w:t>
            </w:r>
          </w:p>
        </w:tc>
        <w:tc>
          <w:tcPr>
            <w:tcW w:type="dxa" w:w="4320"/>
          </w:tcPr>
          <w:p>
            <w:r>
              <w:rPr>
                <w:sz w:val="18"/>
              </w:rPr>
              <w:t>January 1, 2018 (D&amp;O)  |  January 1, 2020 (Fiduciary)</w:t>
            </w:r>
          </w:p>
        </w:tc>
      </w:tr>
      <w:tr>
        <w:tc>
          <w:tcPr>
            <w:tcW w:type="dxa" w:w="4320"/>
          </w:tcPr>
          <w:p>
            <w:r>
              <w:rPr>
                <w:b/>
                <w:sz w:val="18"/>
              </w:rPr>
              <w:t>Extended Reporting Period</w:t>
            </w:r>
          </w:p>
        </w:tc>
        <w:tc>
          <w:tcPr>
            <w:tcW w:type="dxa" w:w="4320"/>
          </w:tcPr>
          <w:p>
            <w:r>
              <w:rPr>
                <w:sz w:val="18"/>
              </w:rPr>
              <w:t>Automatic: 60 days  |  Optional: 1-year ($100% premium)</w:t>
              <w:br/>
              <w:t>3-year ($200% premium)</w:t>
            </w:r>
          </w:p>
        </w:tc>
      </w:tr>
      <w:tr>
        <w:tc>
          <w:tcPr>
            <w:tcW w:type="dxa" w:w="4320"/>
          </w:tcPr>
          <w:p>
            <w:r>
              <w:rPr>
                <w:b/>
                <w:sz w:val="18"/>
              </w:rPr>
              <w:t>Annual Premium</w:t>
            </w:r>
          </w:p>
        </w:tc>
        <w:tc>
          <w:tcPr>
            <w:tcW w:type="dxa" w:w="4320"/>
          </w:tcPr>
          <w:p>
            <w:r>
              <w:rPr>
                <w:sz w:val="18"/>
              </w:rPr>
              <w:t>D&amp;O: $842,000  |  Fiduciary: $124,000  |  Total: $966,000</w:t>
            </w:r>
          </w:p>
        </w:tc>
      </w:tr>
    </w:tbl>
    <w:p>
      <w:r>
        <w:br w:type="page"/>
      </w:r>
    </w:p>
    <w:p>
      <w:pPr>
        <w:pStyle w:val="Heading2"/>
      </w:pPr>
      <w:r>
        <w:rPr>
          <w:color w:val="00205B"/>
        </w:rPr>
        <w:t>D&amp;O Liability Tower</w:t>
      </w:r>
    </w:p>
    <w:p>
      <w:pPr>
        <w:spacing w:after="120"/>
      </w:pPr>
      <w:r>
        <w:rPr>
          <w:b w:val="0"/>
          <w:color w:val="334155"/>
          <w:sz w:val="20"/>
        </w:rPr>
        <w:t>The following tower provides $50,000,000 in total D&amp;O limits. AIG is the primary carrier (Layer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205B"/>
          </w:tcPr>
          <w:p>
            <w:pPr>
              <w:jc w:val="center"/>
            </w:pPr>
            <w:r>
              <w:rPr>
                <w:b/>
                <w:color w:val="FFFFFF"/>
                <w:sz w:val="18"/>
              </w:rPr>
              <w:t>Layer</w:t>
            </w:r>
          </w:p>
        </w:tc>
        <w:tc>
          <w:tcPr>
            <w:tcW w:type="dxa" w:w="1728"/>
            <w:shd w:fill="00205B"/>
          </w:tcPr>
          <w:p>
            <w:pPr>
              <w:jc w:val="center"/>
            </w:pPr>
            <w:r>
              <w:rPr>
                <w:b/>
                <w:color w:val="FFFFFF"/>
                <w:sz w:val="18"/>
              </w:rPr>
              <w:t>Carrier</w:t>
            </w:r>
          </w:p>
        </w:tc>
        <w:tc>
          <w:tcPr>
            <w:tcW w:type="dxa" w:w="1728"/>
            <w:shd w:fill="00205B"/>
          </w:tcPr>
          <w:p>
            <w:pPr>
              <w:jc w:val="center"/>
            </w:pPr>
            <w:r>
              <w:rPr>
                <w:b/>
                <w:color w:val="FFFFFF"/>
                <w:sz w:val="18"/>
              </w:rPr>
              <w:t>Limit</w:t>
            </w:r>
          </w:p>
        </w:tc>
        <w:tc>
          <w:tcPr>
            <w:tcW w:type="dxa" w:w="1728"/>
            <w:shd w:fill="00205B"/>
          </w:tcPr>
          <w:p>
            <w:pPr>
              <w:jc w:val="center"/>
            </w:pPr>
            <w:r>
              <w:rPr>
                <w:b/>
                <w:color w:val="FFFFFF"/>
                <w:sz w:val="18"/>
              </w:rPr>
              <w:t>Attachment</w:t>
            </w:r>
          </w:p>
        </w:tc>
        <w:tc>
          <w:tcPr>
            <w:tcW w:type="dxa" w:w="1728"/>
            <w:shd w:fill="00205B"/>
          </w:tcPr>
          <w:p>
            <w:pPr>
              <w:jc w:val="center"/>
            </w:pPr>
            <w:r>
              <w:rPr>
                <w:b/>
                <w:color w:val="FFFFFF"/>
                <w:sz w:val="18"/>
              </w:rPr>
              <w:t>Premium</w:t>
            </w:r>
          </w:p>
        </w:tc>
      </w:tr>
      <w:tr>
        <w:tc>
          <w:tcPr>
            <w:tcW w:type="dxa" w:w="1728"/>
          </w:tcPr>
          <w:p>
            <w:r>
              <w:rPr>
                <w:sz w:val="18"/>
              </w:rPr>
              <w:t>Layer 4</w:t>
            </w:r>
          </w:p>
        </w:tc>
        <w:tc>
          <w:tcPr>
            <w:tcW w:type="dxa" w:w="1728"/>
          </w:tcPr>
          <w:p>
            <w:r>
              <w:rPr>
                <w:sz w:val="18"/>
              </w:rPr>
              <w:t>QBE</w:t>
            </w:r>
          </w:p>
        </w:tc>
        <w:tc>
          <w:tcPr>
            <w:tcW w:type="dxa" w:w="1728"/>
          </w:tcPr>
          <w:p>
            <w:r>
              <w:rPr>
                <w:sz w:val="18"/>
              </w:rPr>
              <w:t>$10,000,000</w:t>
            </w:r>
          </w:p>
        </w:tc>
        <w:tc>
          <w:tcPr>
            <w:tcW w:type="dxa" w:w="1728"/>
          </w:tcPr>
          <w:p>
            <w:r>
              <w:rPr>
                <w:sz w:val="18"/>
              </w:rPr>
              <w:t>xs $40M</w:t>
            </w:r>
          </w:p>
        </w:tc>
        <w:tc>
          <w:tcPr>
            <w:tcW w:type="dxa" w:w="1728"/>
          </w:tcPr>
          <w:p>
            <w:r>
              <w:rPr>
                <w:sz w:val="18"/>
              </w:rPr>
              <w:t>$86,000</w:t>
            </w:r>
          </w:p>
        </w:tc>
      </w:tr>
      <w:tr>
        <w:tc>
          <w:tcPr>
            <w:tcW w:type="dxa" w:w="1728"/>
          </w:tcPr>
          <w:p>
            <w:r>
              <w:rPr>
                <w:sz w:val="18"/>
              </w:rPr>
              <w:t>Layer 3</w:t>
            </w:r>
          </w:p>
        </w:tc>
        <w:tc>
          <w:tcPr>
            <w:tcW w:type="dxa" w:w="1728"/>
          </w:tcPr>
          <w:p>
            <w:r>
              <w:rPr>
                <w:sz w:val="18"/>
              </w:rPr>
              <w:t>Zurich</w:t>
            </w:r>
          </w:p>
        </w:tc>
        <w:tc>
          <w:tcPr>
            <w:tcW w:type="dxa" w:w="1728"/>
          </w:tcPr>
          <w:p>
            <w:r>
              <w:rPr>
                <w:sz w:val="18"/>
              </w:rPr>
              <w:t>$15,000,000</w:t>
            </w:r>
          </w:p>
        </w:tc>
        <w:tc>
          <w:tcPr>
            <w:tcW w:type="dxa" w:w="1728"/>
          </w:tcPr>
          <w:p>
            <w:r>
              <w:rPr>
                <w:sz w:val="18"/>
              </w:rPr>
              <w:t>xs $25M</w:t>
            </w:r>
          </w:p>
        </w:tc>
        <w:tc>
          <w:tcPr>
            <w:tcW w:type="dxa" w:w="1728"/>
          </w:tcPr>
          <w:p>
            <w:r>
              <w:rPr>
                <w:sz w:val="18"/>
              </w:rPr>
              <w:t>$148,000</w:t>
            </w:r>
          </w:p>
        </w:tc>
      </w:tr>
      <w:tr>
        <w:tc>
          <w:tcPr>
            <w:tcW w:type="dxa" w:w="1728"/>
          </w:tcPr>
          <w:p>
            <w:r>
              <w:rPr>
                <w:sz w:val="18"/>
              </w:rPr>
              <w:t>Layer 2</w:t>
            </w:r>
          </w:p>
        </w:tc>
        <w:tc>
          <w:tcPr>
            <w:tcW w:type="dxa" w:w="1728"/>
          </w:tcPr>
          <w:p>
            <w:r>
              <w:rPr>
                <w:sz w:val="18"/>
              </w:rPr>
              <w:t>Chubb</w:t>
            </w:r>
          </w:p>
        </w:tc>
        <w:tc>
          <w:tcPr>
            <w:tcW w:type="dxa" w:w="1728"/>
          </w:tcPr>
          <w:p>
            <w:r>
              <w:rPr>
                <w:sz w:val="18"/>
              </w:rPr>
              <w:t>$10,000,000</w:t>
            </w:r>
          </w:p>
        </w:tc>
        <w:tc>
          <w:tcPr>
            <w:tcW w:type="dxa" w:w="1728"/>
          </w:tcPr>
          <w:p>
            <w:r>
              <w:rPr>
                <w:sz w:val="18"/>
              </w:rPr>
              <w:t>xs $15M</w:t>
            </w:r>
          </w:p>
        </w:tc>
        <w:tc>
          <w:tcPr>
            <w:tcW w:type="dxa" w:w="1728"/>
          </w:tcPr>
          <w:p>
            <w:r>
              <w:rPr>
                <w:sz w:val="18"/>
              </w:rPr>
              <w:t>$224,000</w:t>
            </w:r>
          </w:p>
        </w:tc>
      </w:tr>
      <w:tr>
        <w:tc>
          <w:tcPr>
            <w:tcW w:type="dxa" w:w="1728"/>
          </w:tcPr>
          <w:p>
            <w:r>
              <w:rPr>
                <w:sz w:val="18"/>
              </w:rPr>
              <w:t>Layer 1 (AIG)</w:t>
            </w:r>
          </w:p>
        </w:tc>
        <w:tc>
          <w:tcPr>
            <w:tcW w:type="dxa" w:w="1728"/>
          </w:tcPr>
          <w:p>
            <w:r>
              <w:rPr>
                <w:sz w:val="18"/>
              </w:rPr>
              <w:t>AIG</w:t>
            </w:r>
          </w:p>
        </w:tc>
        <w:tc>
          <w:tcPr>
            <w:tcW w:type="dxa" w:w="1728"/>
          </w:tcPr>
          <w:p>
            <w:r>
              <w:rPr>
                <w:sz w:val="18"/>
              </w:rPr>
              <w:t>$15,000,000</w:t>
            </w:r>
          </w:p>
        </w:tc>
        <w:tc>
          <w:tcPr>
            <w:tcW w:type="dxa" w:w="1728"/>
          </w:tcPr>
          <w:p>
            <w:r>
              <w:rPr>
                <w:sz w:val="18"/>
              </w:rPr>
              <w:t>Primary</w:t>
            </w:r>
          </w:p>
        </w:tc>
        <w:tc>
          <w:tcPr>
            <w:tcW w:type="dxa" w:w="1728"/>
          </w:tcPr>
          <w:p>
            <w:r>
              <w:rPr>
                <w:sz w:val="18"/>
              </w:rPr>
              <w:t>$842,000</w:t>
            </w:r>
          </w:p>
        </w:tc>
      </w:tr>
    </w:tbl>
    <w:p>
      <w:pPr>
        <w:spacing w:after="120"/>
      </w:pPr>
      <w:r>
        <w:rPr>
          <w:b/>
          <w:color w:val="334155"/>
          <w:sz w:val="20"/>
        </w:rPr>
        <w:t>Total D&amp;O Tower: $50,000,000  |  Total Tower Premium: $1,300,000</w:t>
      </w:r>
    </w:p>
    <w:p/>
    <w:p>
      <w:pPr>
        <w:pStyle w:val="Heading2"/>
      </w:pPr>
      <w:r>
        <w:rPr>
          <w:color w:val="00205B"/>
        </w:rPr>
        <w:t>Part II — Insured Persons &amp; Coverage</w:t>
      </w:r>
    </w:p>
    <w:p>
      <w:pPr>
        <w:spacing w:after="120"/>
      </w:pPr>
      <w:r>
        <w:rPr>
          <w:b w:val="0"/>
          <w:color w:val="334155"/>
          <w:sz w:val="20"/>
        </w:rPr>
        <w:t>"Insured Person" means any natural person who was, is, or becomes during the Policy Period:</w:t>
      </w:r>
    </w:p>
    <w:p>
      <w:pPr>
        <w:spacing w:after="120"/>
      </w:pPr>
      <w:r>
        <w:rPr>
          <w:b w:val="0"/>
          <w:color w:val="334155"/>
          <w:sz w:val="20"/>
        </w:rPr>
        <w:t>(a) A director, officer, or equivalent executive of the Named Insured or any Subsidiary</w:t>
      </w:r>
    </w:p>
    <w:p>
      <w:pPr>
        <w:spacing w:after="120"/>
      </w:pPr>
      <w:r>
        <w:rPr>
          <w:b w:val="0"/>
          <w:color w:val="334155"/>
          <w:sz w:val="20"/>
        </w:rPr>
        <w:t>(b) A trustee, administrator, or fiduciary of any Employee Benefit Plan</w:t>
      </w:r>
    </w:p>
    <w:p>
      <w:pPr>
        <w:spacing w:after="120"/>
      </w:pPr>
      <w:r>
        <w:rPr>
          <w:b w:val="0"/>
          <w:color w:val="334155"/>
          <w:sz w:val="20"/>
        </w:rPr>
        <w:t>(c) A shadow director or de facto director as determined by applicable law</w:t>
      </w:r>
    </w:p>
    <w:p>
      <w:pPr>
        <w:spacing w:after="120"/>
      </w:pPr>
      <w:r>
        <w:rPr>
          <w:b w:val="0"/>
          <w:color w:val="334155"/>
          <w:sz w:val="20"/>
        </w:rPr>
        <w:t>(d) An employee of the Named Insured ONLY with respect to Claims alleging wrongful employment practices (EPLI extension — see Part V)</w:t>
      </w:r>
    </w:p>
    <w:p>
      <w:pPr>
        <w:spacing w:after="120"/>
      </w:pPr>
      <w:r>
        <w:rPr>
          <w:b w:val="0"/>
          <w:color w:val="334155"/>
          <w:sz w:val="20"/>
        </w:rPr>
        <w:t>(e) The estate, heirs, or legal representatives of a deceased Insured Person</w:t>
      </w:r>
    </w:p>
    <w:p>
      <w:pPr>
        <w:spacing w:after="120"/>
      </w:pPr>
      <w:r>
        <w:rPr>
          <w:b w:val="0"/>
          <w:color w:val="334155"/>
          <w:sz w:val="20"/>
        </w:rPr>
        <w:t>(f) The lawful spouse or domestic partner of an Insured Person ONLY to the extent Claims seek damages from marital community property or jointly held assets</w:t>
      </w:r>
    </w:p>
    <w:p/>
    <w:p>
      <w:pPr>
        <w:pStyle w:val="Heading2"/>
      </w:pPr>
      <w:r>
        <w:rPr>
          <w:color w:val="00205B"/>
        </w:rPr>
        <w:t>Part III — Coverage Sections (D&amp;O)</w:t>
      </w:r>
    </w:p>
    <w:p>
      <w:pPr>
        <w:pStyle w:val="Heading3"/>
      </w:pPr>
      <w:r>
        <w:rPr>
          <w:color w:val="00205B"/>
        </w:rPr>
        <w:t>Side A — Non-Indemnifiable Loss</w:t>
      </w:r>
    </w:p>
    <w:p>
      <w:pPr>
        <w:spacing w:after="120"/>
      </w:pPr>
      <w:r>
        <w:rPr>
          <w:b w:val="0"/>
          <w:color w:val="334155"/>
          <w:sz w:val="20"/>
        </w:rPr>
        <w:t>AIG shall pay Loss on behalf of any Insured Person arising from a Claim for a Wrongful Act, but only to the extent such Loss is not indemnified by the Organization and is not indemnifiable pursuant to applicable law, the Organization's charter, bylaws, or agreements.</w:t>
        <w:br/>
        <w:br/>
        <w:t>Side A applies with NO retention. This is the broadest coverage and protects individual directors and officers when the company cannot or will not indemnify them (e.g., insolvency, derivative suits, or legal prohibition on indemnification).</w:t>
        <w:br/>
        <w:br/>
        <w:t>Side A DIC (Difference in Conditions) Feature: If any underlying or co-primary D&amp;O policy denies coverage for a claim that would be covered under this policy's terms, Side A DIC drops down to provide coverage, subject to the full policy limit.</w:t>
      </w:r>
    </w:p>
    <w:p>
      <w:pPr>
        <w:pStyle w:val="Heading3"/>
      </w:pPr>
      <w:r>
        <w:rPr>
          <w:color w:val="00205B"/>
        </w:rPr>
        <w:t>Side B — Corporate Reimbursement</w:t>
      </w:r>
    </w:p>
    <w:p>
      <w:pPr>
        <w:spacing w:after="120"/>
      </w:pPr>
      <w:r>
        <w:rPr>
          <w:b w:val="0"/>
          <w:color w:val="334155"/>
          <w:sz w:val="20"/>
        </w:rPr>
        <w:t>AIG shall pay Loss on behalf of the Organization arising from a Claim for a Wrongful Act committed by an Insured Person, but only to the extent the Organization has indemnified or is required to indemnify the Insured Person.</w:t>
        <w:br/>
        <w:br/>
        <w:t>Retention: $500,000 per Claim applies to Side B only. The retention is satisfied by the Organization's payment (not by AIG payment). If the Organization fails to advance the retention amount within 90 days of demand by the Insured Person, Side A coverage shall apply as if the loss were non-indemnifiable.</w:t>
      </w:r>
    </w:p>
    <w:p>
      <w:pPr>
        <w:pStyle w:val="Heading3"/>
      </w:pPr>
      <w:r>
        <w:rPr>
          <w:color w:val="00205B"/>
        </w:rPr>
        <w:t>Side C — Entity Securities Coverage</w:t>
      </w:r>
    </w:p>
    <w:p>
      <w:pPr>
        <w:spacing w:after="120"/>
      </w:pPr>
      <w:r>
        <w:rPr>
          <w:b w:val="0"/>
          <w:color w:val="334155"/>
          <w:sz w:val="20"/>
        </w:rPr>
        <w:t>AIG shall pay Loss on behalf of the Organization arising from a Securities Claim brought by a security holder of the Organization, whether individually, derivatively, or as part of a class, alleging a violation of any federal, state, or foreign securities law or regulation.</w:t>
        <w:br/>
        <w:br/>
        <w:t>Retention: $1,000,000 per Securities Claim.</w:t>
        <w:br/>
        <w:t>Sublimit: $7,500,000 for entity-only Securities Claims (where no individual Insured Person is named).</w:t>
        <w:br/>
        <w:br/>
        <w:t>IMPORTANT: Securities Claims arising from the following are subject to heightened scrutiny and may require notice to AIG within 15 days (instead of standard 60 days):</w:t>
        <w:br/>
        <w:t>- Restatement of financial statements</w:t>
        <w:br/>
        <w:t>- SEC Wells Notice or formal investigation</w:t>
        <w:br/>
        <w:t>- Whistleblower complaint under Dodd-Frank</w:t>
        <w:br/>
        <w:t>- Shareholder demand letter alleging breach of fiduciary duty</w:t>
        <w:br/>
        <w:t>- M&amp;A transaction litigation (including appraisal actions)</w:t>
      </w:r>
    </w:p>
    <w:p>
      <w:r>
        <w:br w:type="page"/>
      </w:r>
    </w:p>
    <w:p>
      <w:pPr>
        <w:pStyle w:val="Heading2"/>
      </w:pPr>
      <w:r>
        <w:rPr>
          <w:color w:val="00205B"/>
        </w:rPr>
        <w:t>Part IV — Exclusions</w:t>
      </w:r>
    </w:p>
    <w:p>
      <w:pPr>
        <w:spacing w:after="120"/>
      </w:pPr>
      <w:r>
        <w:rPr>
          <w:b w:val="0"/>
          <w:color w:val="334155"/>
          <w:sz w:val="20"/>
        </w:rPr>
        <w:t>This policy shall not cover any Loss arising from or related to:</w:t>
      </w:r>
    </w:p>
    <w:p>
      <w:pPr>
        <w:pStyle w:val="Heading3"/>
      </w:pPr>
      <w:r>
        <w:rPr>
          <w:color w:val="00205B"/>
        </w:rPr>
        <w:t>A. Prior &amp; Pending Litigation</w:t>
      </w:r>
    </w:p>
    <w:p>
      <w:pPr>
        <w:spacing w:after="120"/>
      </w:pPr>
      <w:r>
        <w:rPr>
          <w:b w:val="0"/>
          <w:color w:val="334155"/>
          <w:sz w:val="20"/>
        </w:rPr>
        <w:t>Any Claim based upon, arising from, or attributable to any litigation, administrative proceeding, or investigation pending on or before the Retroactive Date, or based upon the same or substantially the same facts alleged in such prior proceedings. Pending matters as of the Retroactive Date are listed in Schedule A attached.</w:t>
      </w:r>
    </w:p>
    <w:p>
      <w:pPr>
        <w:pStyle w:val="Heading3"/>
      </w:pPr>
      <w:r>
        <w:rPr>
          <w:color w:val="00205B"/>
        </w:rPr>
        <w:t>B. Fraud &amp; Criminal Acts</w:t>
      </w:r>
    </w:p>
    <w:p>
      <w:pPr>
        <w:spacing w:after="120"/>
      </w:pPr>
      <w:r>
        <w:rPr>
          <w:b w:val="0"/>
          <w:color w:val="334155"/>
          <w:sz w:val="20"/>
        </w:rPr>
        <w:t>Any deliberately fraudulent, dishonest, or criminal act committed by an Insured Person, as established by a final, non-appealable adjudication, admission, or plea. Defense costs are advanced until such determination is made. If fraud is established, AIG shall be entitled to full reimbursement of all defense costs advanced (severability preserved — see Part VII).</w:t>
      </w:r>
    </w:p>
    <w:p>
      <w:pPr>
        <w:pStyle w:val="Heading3"/>
      </w:pPr>
      <w:r>
        <w:rPr>
          <w:color w:val="00205B"/>
        </w:rPr>
        <w:t>C. Personal Profit / Illegal Remuneration</w:t>
      </w:r>
    </w:p>
    <w:p>
      <w:pPr>
        <w:spacing w:after="120"/>
      </w:pPr>
      <w:r>
        <w:rPr>
          <w:b w:val="0"/>
          <w:color w:val="334155"/>
          <w:sz w:val="20"/>
        </w:rPr>
        <w:t>Any Claim based upon an Insured Person gaining personal profit, remuneration, or advantage to which they were not legally entitled, including but not limited to: insider trading, Section 16(b) short-swing profits, undisclosed self-dealing transactions, or undisclosed related-party transactions.</w:t>
      </w:r>
    </w:p>
    <w:p>
      <w:pPr>
        <w:pStyle w:val="Heading3"/>
      </w:pPr>
      <w:r>
        <w:rPr>
          <w:color w:val="00205B"/>
        </w:rPr>
        <w:t>D. Professional Medical Services</w:t>
      </w:r>
    </w:p>
    <w:p>
      <w:pPr>
        <w:spacing w:after="120"/>
      </w:pPr>
      <w:r>
        <w:rPr>
          <w:b w:val="0"/>
          <w:color w:val="334155"/>
          <w:sz w:val="20"/>
        </w:rPr>
        <w:t>Any Claim arising from the rendering or failure to render professional medical, surgical, dental, or pharmaceutical services. This exclusion does NOT apply to: (1) Claims against directors or officers for failure to supervise the delivery of medical services; (2) Claims alleging negligent credentialing or privileging decisions; or (3) Claims alleging EMTALA violations at the board/management level.</w:t>
      </w:r>
    </w:p>
    <w:p>
      <w:pPr>
        <w:pStyle w:val="Heading3"/>
      </w:pPr>
      <w:r>
        <w:rPr>
          <w:color w:val="00205B"/>
        </w:rPr>
        <w:t>E. ERISA / Employee Benefits</w:t>
      </w:r>
    </w:p>
    <w:p>
      <w:pPr>
        <w:spacing w:after="120"/>
      </w:pPr>
      <w:r>
        <w:rPr>
          <w:b w:val="0"/>
          <w:color w:val="334155"/>
          <w:sz w:val="20"/>
        </w:rPr>
        <w:t>Any Claim under ERISA (Employee Retirement Income Security Act) or similar state law relating to the administration of any Employee Benefit Plan, EXCEPT as covered under the Fiduciary Liability section (Part VI) of this policy.</w:t>
      </w:r>
    </w:p>
    <w:p>
      <w:pPr>
        <w:pStyle w:val="Heading3"/>
      </w:pPr>
      <w:r>
        <w:rPr>
          <w:color w:val="00205B"/>
        </w:rPr>
        <w:t>F. Antitrust / Price Fixing</w:t>
      </w:r>
    </w:p>
    <w:p>
      <w:pPr>
        <w:spacing w:after="120"/>
      </w:pPr>
      <w:r>
        <w:rPr>
          <w:b w:val="0"/>
          <w:color w:val="334155"/>
          <w:sz w:val="20"/>
        </w:rPr>
        <w:t>Any Claim alleging violation of the Sherman Antitrust Act, Clayton Act, Robinson-Patman Act, or any state antitrust or unfair competition statute, EXCEPT defense costs only are covered until a final determination of liability. Sublimit for antitrust defense: $2,500,000.</w:t>
      </w:r>
    </w:p>
    <w:p>
      <w:pPr>
        <w:pStyle w:val="Heading3"/>
      </w:pPr>
      <w:r>
        <w:rPr>
          <w:color w:val="00205B"/>
        </w:rPr>
        <w:t>G. Pollution / Environmental</w:t>
      </w:r>
    </w:p>
    <w:p>
      <w:pPr>
        <w:spacing w:after="120"/>
      </w:pPr>
      <w:r>
        <w:rPr>
          <w:b w:val="0"/>
          <w:color w:val="334155"/>
          <w:sz w:val="20"/>
        </w:rPr>
        <w:t>Any Claim for bodily injury, property damage, or remediation costs arising from the actual, alleged, or threatened discharge, dispersal, release, or escape of pollutants or contaminants. This exclusion does NOT apply to Securities Claims alleging failure to disclose environmental liabilities in SEC filings.</w:t>
      </w:r>
    </w:p>
    <w:p>
      <w:pPr>
        <w:pStyle w:val="Heading3"/>
      </w:pPr>
      <w:r>
        <w:rPr>
          <w:color w:val="00205B"/>
        </w:rPr>
        <w:t>H. Cyber / Privacy Event</w:t>
      </w:r>
    </w:p>
    <w:p>
      <w:pPr>
        <w:spacing w:after="120"/>
      </w:pPr>
      <w:r>
        <w:rPr>
          <w:b w:val="0"/>
          <w:color w:val="334155"/>
          <w:sz w:val="20"/>
        </w:rPr>
        <w:t>Any Claim arising from a data breach, ransomware attack, or privacy violation, EXCEPT to the extent such Claim is brought as a Securities Claim alleging failure to maintain adequate cybersecurity controls or failure to disclose a material cyber incident. Note: Dedicated Cyber Liability coverage should be maintained separately.</w:t>
      </w:r>
    </w:p>
    <w:p>
      <w:pPr>
        <w:pStyle w:val="Heading3"/>
      </w:pPr>
      <w:r>
        <w:rPr>
          <w:color w:val="00205B"/>
        </w:rPr>
        <w:t>I. Medicare / Medicaid Fraud</w:t>
      </w:r>
    </w:p>
    <w:p>
      <w:pPr>
        <w:spacing w:after="120"/>
      </w:pPr>
      <w:r>
        <w:rPr>
          <w:b w:val="0"/>
          <w:color w:val="334155"/>
          <w:sz w:val="20"/>
        </w:rPr>
        <w:t>Any Claim brought by or on behalf of the United States Government alleging violation of the False Claims Act (31 USC §3729), Anti-Kickback Statute (42 USC §1320a-7b), or Stark Law (42 USC §1395nn) relating to Medicare or Medicaid billing practices. IMPORTANT: This exclusion applies to entity coverage (Side C) only. Individual directors and officers retain coverage under Side A and B for defense of such claims.</w:t>
      </w:r>
    </w:p>
    <w:p>
      <w:r>
        <w:br w:type="page"/>
      </w:r>
    </w:p>
    <w:p>
      <w:pPr>
        <w:pStyle w:val="Heading2"/>
      </w:pPr>
      <w:r>
        <w:rPr>
          <w:color w:val="00205B"/>
        </w:rPr>
        <w:t>Part V — Employment Practices Liability Extension</w:t>
      </w:r>
    </w:p>
    <w:p>
      <w:pPr>
        <w:spacing w:after="120"/>
      </w:pPr>
      <w:r>
        <w:rPr>
          <w:b w:val="0"/>
          <w:color w:val="334155"/>
          <w:sz w:val="20"/>
        </w:rPr>
        <w:t>This policy includes an Employment Practices Liability (EPLI) coverage extension for Pinnacle Healthcare Systems with the following terms: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EPLI Sublimit</w:t>
            </w:r>
          </w:p>
        </w:tc>
        <w:tc>
          <w:tcPr>
            <w:tcW w:type="dxa" w:w="4320"/>
          </w:tcPr>
          <w:p>
            <w:r>
              <w:rPr>
                <w:sz w:val="18"/>
              </w:rPr>
              <w:t>$5,000,000 per claim and aggregate (within D&amp;O limit)</w:t>
            </w:r>
          </w:p>
        </w:tc>
      </w:tr>
      <w:tr>
        <w:tc>
          <w:tcPr>
            <w:tcW w:type="dxa" w:w="4320"/>
          </w:tcPr>
          <w:p>
            <w:r>
              <w:rPr>
                <w:b/>
                <w:sz w:val="18"/>
              </w:rPr>
              <w:t>EPLI Retention</w:t>
            </w:r>
          </w:p>
        </w:tc>
        <w:tc>
          <w:tcPr>
            <w:tcW w:type="dxa" w:w="4320"/>
          </w:tcPr>
          <w:p>
            <w:r>
              <w:rPr>
                <w:sz w:val="18"/>
              </w:rPr>
              <w:t>$150,000 per claim (corporate)</w:t>
            </w:r>
          </w:p>
        </w:tc>
      </w:tr>
      <w:tr>
        <w:tc>
          <w:tcPr>
            <w:tcW w:type="dxa" w:w="4320"/>
          </w:tcPr>
          <w:p>
            <w:r>
              <w:rPr>
                <w:b/>
                <w:sz w:val="18"/>
              </w:rPr>
              <w:t>Covered Wrongful Acts</w:t>
            </w:r>
          </w:p>
        </w:tc>
        <w:tc>
          <w:tcPr>
            <w:tcW w:type="dxa" w:w="4320"/>
          </w:tcPr>
          <w:p>
            <w:r>
              <w:rPr>
                <w:sz w:val="18"/>
              </w:rPr>
              <w:t>Discrimination, harassment (including sexual harassment), wrongful termination, retaliation, failure to promote, breach of employment contract, negligent evaluation, defamation in employment context, invasion of employee privacy</w:t>
            </w:r>
          </w:p>
        </w:tc>
      </w:tr>
      <w:tr>
        <w:tc>
          <w:tcPr>
            <w:tcW w:type="dxa" w:w="4320"/>
          </w:tcPr>
          <w:p>
            <w:r>
              <w:rPr>
                <w:b/>
                <w:sz w:val="18"/>
              </w:rPr>
              <w:t>Third-Party EPLI</w:t>
            </w:r>
          </w:p>
        </w:tc>
        <w:tc>
          <w:tcPr>
            <w:tcW w:type="dxa" w:w="4320"/>
          </w:tcPr>
          <w:p>
            <w:r>
              <w:rPr>
                <w:sz w:val="18"/>
              </w:rPr>
              <w:t>Included — covers claims by patients, vendors, or visitors alleging harassment or discrimination by employees</w:t>
            </w:r>
          </w:p>
        </w:tc>
      </w:tr>
      <w:tr>
        <w:tc>
          <w:tcPr>
            <w:tcW w:type="dxa" w:w="4320"/>
          </w:tcPr>
          <w:p>
            <w:r>
              <w:rPr>
                <w:b/>
                <w:sz w:val="18"/>
              </w:rPr>
              <w:t>Wage &amp; Hour Exclusion</w:t>
            </w:r>
          </w:p>
        </w:tc>
        <w:tc>
          <w:tcPr>
            <w:tcW w:type="dxa" w:w="4320"/>
          </w:tcPr>
          <w:p>
            <w:r>
              <w:rPr>
                <w:sz w:val="18"/>
              </w:rPr>
              <w:t>EXCLUDED — No coverage for FLSA or state wage/hour claims. Pinnacle had a $4.2M FLSA class action settlement in 2023 involving nurse overtime.</w:t>
            </w:r>
          </w:p>
        </w:tc>
      </w:tr>
      <w:tr>
        <w:tc>
          <w:tcPr>
            <w:tcW w:type="dxa" w:w="4320"/>
          </w:tcPr>
          <w:p>
            <w:r>
              <w:rPr>
                <w:b/>
                <w:sz w:val="18"/>
              </w:rPr>
              <w:t>Workplace Violence</w:t>
            </w:r>
          </w:p>
        </w:tc>
        <w:tc>
          <w:tcPr>
            <w:tcW w:type="dxa" w:w="4320"/>
          </w:tcPr>
          <w:p>
            <w:r>
              <w:rPr>
                <w:sz w:val="18"/>
              </w:rPr>
              <w:t>Included — $1,000,000 sublimit for workplace violence response costs (counseling, security, relocation)</w:t>
            </w:r>
          </w:p>
        </w:tc>
      </w:tr>
      <w:tr>
        <w:tc>
          <w:tcPr>
            <w:tcW w:type="dxa" w:w="4320"/>
          </w:tcPr>
          <w:p>
            <w:r>
              <w:rPr>
                <w:b/>
                <w:sz w:val="18"/>
              </w:rPr>
              <w:t>Regulatory Proceedings</w:t>
            </w:r>
          </w:p>
        </w:tc>
        <w:tc>
          <w:tcPr>
            <w:tcW w:type="dxa" w:w="4320"/>
          </w:tcPr>
          <w:p>
            <w:r>
              <w:rPr>
                <w:sz w:val="18"/>
              </w:rPr>
              <w:t>EEOC, state human rights agencies, DOL investigations — defense costs covered (no damages coverage for fines/penalties)</w:t>
            </w:r>
          </w:p>
        </w:tc>
      </w:tr>
      <w:tr>
        <w:tc>
          <w:tcPr>
            <w:tcW w:type="dxa" w:w="4320"/>
          </w:tcPr>
          <w:p>
            <w:r>
              <w:rPr>
                <w:b/>
                <w:sz w:val="18"/>
              </w:rPr>
              <w:t>Predecessor Coverage</w:t>
            </w:r>
          </w:p>
        </w:tc>
        <w:tc>
          <w:tcPr>
            <w:tcW w:type="dxa" w:w="4320"/>
          </w:tcPr>
          <w:p>
            <w:r>
              <w:rPr>
                <w:sz w:val="18"/>
              </w:rPr>
              <w:t>Includes claims arising from employment practices of acquired entities provided acquisition closed after the Retroactive Date (01/01/2018)</w:t>
            </w:r>
          </w:p>
        </w:tc>
      </w:tr>
    </w:tbl>
    <w:p/>
    <w:p>
      <w:pPr>
        <w:pStyle w:val="Heading2"/>
      </w:pPr>
      <w:r>
        <w:rPr>
          <w:color w:val="00205B"/>
        </w:rPr>
        <w:t>Part VI — Fiduciary Liability Coverage</w:t>
      </w:r>
    </w:p>
    <w:p>
      <w:pPr>
        <w:spacing w:after="120"/>
      </w:pPr>
      <w:r>
        <w:rPr>
          <w:b w:val="0"/>
          <w:color w:val="334155"/>
          <w:sz w:val="20"/>
        </w:rPr>
        <w:t>This section provides separate coverage for claims alleging breach of fiduciary duty in connection with the administration of Employee Benefit Plans maintained by Pinnacle Healthcare.</w:t>
      </w:r>
    </w:p>
    <w:p>
      <w:pPr>
        <w:spacing w:after="120"/>
      </w:pPr>
      <w:r>
        <w:rPr>
          <w:b w:val="0"/>
          <w:color w:val="334155"/>
          <w:sz w:val="20"/>
        </w:rPr>
        <w:t xml:space="preserve">  Pinnacle Healthcare 401(k) Retirement Savings Plan — $482M assets (Fidelity)</w:t>
      </w:r>
    </w:p>
    <w:p>
      <w:pPr>
        <w:spacing w:after="120"/>
      </w:pPr>
      <w:r>
        <w:rPr>
          <w:b w:val="0"/>
          <w:color w:val="334155"/>
          <w:sz w:val="20"/>
        </w:rPr>
        <w:t xml:space="preserve">  Pinnacle Healthcare Defined Benefit Pension Plan — $218M assets (TIAA) — FROZEN effective 01/01/2022</w:t>
      </w:r>
    </w:p>
    <w:p>
      <w:pPr>
        <w:spacing w:after="120"/>
      </w:pPr>
      <w:r>
        <w:rPr>
          <w:b w:val="0"/>
          <w:color w:val="334155"/>
          <w:sz w:val="20"/>
        </w:rPr>
        <w:t xml:space="preserve">  Pinnacle Healthcare Group Health Plan — self-insured, 18,420 participants (Aetna ASO)</w:t>
      </w:r>
    </w:p>
    <w:p>
      <w:pPr>
        <w:spacing w:after="120"/>
      </w:pPr>
      <w:r>
        <w:rPr>
          <w:b w:val="0"/>
          <w:color w:val="334155"/>
          <w:sz w:val="20"/>
        </w:rPr>
        <w:t xml:space="preserve">  Pinnacle Healthcare Executive Deferred Compensation Plan — $34M (Rabbi Trust, Vanguard)</w:t>
      </w:r>
    </w:p>
    <w:p>
      <w:pPr>
        <w:spacing w:after="120"/>
      </w:pPr>
      <w:r>
        <w:rPr>
          <w:b w:val="0"/>
          <w:color w:val="334155"/>
          <w:sz w:val="20"/>
        </w:rPr>
        <w:t xml:space="preserve">  Pinnacle Healthcare ESOP — 2.4M shares ($48M at current market)</w:t>
      </w:r>
    </w:p>
    <w:p/>
    <w:p>
      <w:pPr>
        <w:spacing w:after="120"/>
      </w:pPr>
      <w:r>
        <w:rPr>
          <w:b/>
          <w:color w:val="334155"/>
          <w:sz w:val="20"/>
        </w:rPr>
        <w:t>FIDUCIARY RISK FACTORS:</w:t>
      </w:r>
    </w:p>
    <w:p>
      <w:pPr>
        <w:spacing w:after="120"/>
      </w:pPr>
      <w:r>
        <w:rPr>
          <w:b w:val="0"/>
          <w:color w:val="334155"/>
          <w:sz w:val="20"/>
        </w:rPr>
        <w:t>The 401(k) plan was the subject of an excessive fee lawsuit (Garcia v. Pinnacle Healthcare, S.D. Tex. 2024) that was dismissed on summary judgment. Plaintiffs have filed a notice of appeal to the Fifth Circuit. If reversed, potential exposure is estimated at $8-12M in fee disgorgement. This matter is SCHEDULED as a Known Circumstance and is subject to a $2,000,000 sublimit.</w:t>
      </w:r>
    </w:p>
    <w:p>
      <w:pPr>
        <w:spacing w:after="120"/>
      </w:pPr>
      <w:r>
        <w:rPr>
          <w:b w:val="0"/>
          <w:color w:val="334155"/>
          <w:sz w:val="20"/>
        </w:rPr>
        <w:t>The frozen Defined Benefit Plan is currently 87% funded. PBGC premiums are current. The plan's investment committee (3 members of the Board) oversees asset allocation. Recent shift from fixed income to alternative investments (12% allocation to PE/hedge funds) may attract fiduciary scrutiny.</w:t>
      </w:r>
    </w:p>
    <w:p>
      <w:pPr>
        <w:spacing w:after="120"/>
      </w:pPr>
      <w:r>
        <w:rPr>
          <w:b w:val="0"/>
          <w:color w:val="334155"/>
          <w:sz w:val="20"/>
        </w:rPr>
        <w:t>The ESOP underwent a Section 409(a) valuation in December 2025. The independent appraiser (Stout Risius Ross) valued shares at $20.14 per share. Market price on valuation date was $17.42. The premium of 15.6% over market is within acceptable range per DOL guidance but could face challenge if stock price declines significantly.</w:t>
      </w:r>
    </w:p>
    <w:p>
      <w:r>
        <w:br w:type="page"/>
      </w:r>
    </w:p>
    <w:p>
      <w:pPr>
        <w:pStyle w:val="Heading2"/>
      </w:pPr>
      <w:r>
        <w:rPr>
          <w:color w:val="00205B"/>
        </w:rPr>
        <w:t>Part VIII — Claims History (5 Years)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00205B"/>
          </w:tcPr>
          <w:p>
            <w:pPr>
              <w:jc w:val="center"/>
            </w:pPr>
            <w:r>
              <w:rPr>
                <w:b/>
                <w:color w:val="FFFFFF"/>
                <w:sz w:val="18"/>
              </w:rPr>
              <w:t>Year</w:t>
            </w:r>
          </w:p>
        </w:tc>
        <w:tc>
          <w:tcPr>
            <w:tcW w:type="dxa" w:w="1440"/>
            <w:shd w:fill="00205B"/>
          </w:tcPr>
          <w:p>
            <w:pPr>
              <w:jc w:val="center"/>
            </w:pPr>
            <w:r>
              <w:rPr>
                <w:b/>
                <w:color w:val="FFFFFF"/>
                <w:sz w:val="18"/>
              </w:rPr>
              <w:t>Claim Type</w:t>
            </w:r>
          </w:p>
        </w:tc>
        <w:tc>
          <w:tcPr>
            <w:tcW w:type="dxa" w:w="1440"/>
            <w:shd w:fill="00205B"/>
          </w:tcPr>
          <w:p>
            <w:pPr>
              <w:jc w:val="center"/>
            </w:pPr>
            <w:r>
              <w:rPr>
                <w:b/>
                <w:color w:val="FFFFFF"/>
                <w:sz w:val="18"/>
              </w:rPr>
              <w:t>Description</w:t>
            </w:r>
          </w:p>
        </w:tc>
        <w:tc>
          <w:tcPr>
            <w:tcW w:type="dxa" w:w="1440"/>
            <w:shd w:fill="00205B"/>
          </w:tcPr>
          <w:p>
            <w:pPr>
              <w:jc w:val="center"/>
            </w:pPr>
            <w:r>
              <w:rPr>
                <w:b/>
                <w:color w:val="FFFFFF"/>
                <w:sz w:val="18"/>
              </w:rPr>
              <w:t>Paid</w:t>
            </w:r>
          </w:p>
        </w:tc>
        <w:tc>
          <w:tcPr>
            <w:tcW w:type="dxa" w:w="1440"/>
            <w:shd w:fill="00205B"/>
          </w:tcPr>
          <w:p>
            <w:pPr>
              <w:jc w:val="center"/>
            </w:pPr>
            <w:r>
              <w:rPr>
                <w:b/>
                <w:color w:val="FFFFFF"/>
                <w:sz w:val="18"/>
              </w:rPr>
              <w:t>Reserve</w:t>
            </w:r>
          </w:p>
        </w:tc>
        <w:tc>
          <w:tcPr>
            <w:tcW w:type="dxa" w:w="1440"/>
            <w:shd w:fill="00205B"/>
          </w:tcPr>
          <w:p>
            <w:pPr>
              <w:jc w:val="center"/>
            </w:pPr>
            <w:r>
              <w:rPr>
                <w:b/>
                <w:color w:val="FFFFFF"/>
                <w:sz w:val="18"/>
              </w:rPr>
              <w:t>Status</w:t>
            </w:r>
          </w:p>
        </w:tc>
      </w:tr>
      <w:tr>
        <w:tc>
          <w:tcPr>
            <w:tcW w:type="dxa" w:w="1440"/>
          </w:tcPr>
          <w:p>
            <w:r>
              <w:rPr>
                <w:sz w:val="16"/>
              </w:rPr>
              <w:t>2025</w:t>
            </w:r>
          </w:p>
        </w:tc>
        <w:tc>
          <w:tcPr>
            <w:tcW w:type="dxa" w:w="1440"/>
          </w:tcPr>
          <w:p>
            <w:r>
              <w:rPr>
                <w:sz w:val="16"/>
              </w:rPr>
              <w:t>Securities</w:t>
              <w:br/>
              <w:t>Class Action</w:t>
            </w:r>
          </w:p>
        </w:tc>
        <w:tc>
          <w:tcPr>
            <w:tcW w:type="dxa" w:w="1440"/>
          </w:tcPr>
          <w:p>
            <w:r>
              <w:rPr>
                <w:sz w:val="16"/>
              </w:rPr>
              <w:t>Shareholder suit alleging misleading statements about patient volume projections in Q2 2025 earnings call. Lead plaintiff: Midwest Pension Trust.</w:t>
            </w:r>
          </w:p>
        </w:tc>
        <w:tc>
          <w:tcPr>
            <w:tcW w:type="dxa" w:w="1440"/>
          </w:tcPr>
          <w:p>
            <w:r>
              <w:rPr>
                <w:sz w:val="16"/>
              </w:rPr>
              <w:t>$0</w:t>
            </w:r>
          </w:p>
        </w:tc>
        <w:tc>
          <w:tcPr>
            <w:tcW w:type="dxa" w:w="1440"/>
          </w:tcPr>
          <w:p>
            <w:r>
              <w:rPr>
                <w:sz w:val="16"/>
              </w:rPr>
              <w:t>$4,200,000</w:t>
            </w:r>
          </w:p>
        </w:tc>
        <w:tc>
          <w:tcPr>
            <w:tcW w:type="dxa" w:w="1440"/>
          </w:tcPr>
          <w:p>
            <w:r>
              <w:rPr>
                <w:sz w:val="16"/>
              </w:rPr>
              <w:t>OPEN</w:t>
              <w:br/>
              <w:t>Disc.</w:t>
            </w:r>
          </w:p>
        </w:tc>
      </w:tr>
      <w:tr>
        <w:tc>
          <w:tcPr>
            <w:tcW w:type="dxa" w:w="1440"/>
          </w:tcPr>
          <w:p>
            <w:r>
              <w:rPr>
                <w:sz w:val="16"/>
              </w:rPr>
              <w:t>2024</w:t>
            </w:r>
          </w:p>
        </w:tc>
        <w:tc>
          <w:tcPr>
            <w:tcW w:type="dxa" w:w="1440"/>
          </w:tcPr>
          <w:p>
            <w:r>
              <w:rPr>
                <w:sz w:val="16"/>
              </w:rPr>
              <w:t>EPLI</w:t>
            </w:r>
          </w:p>
        </w:tc>
        <w:tc>
          <w:tcPr>
            <w:tcW w:type="dxa" w:w="1440"/>
          </w:tcPr>
          <w:p>
            <w:r>
              <w:rPr>
                <w:sz w:val="16"/>
              </w:rPr>
              <w:t>Former Chief Nursing Officer alleged wrongful termination and gender discrimination. Settled at mediation.</w:t>
            </w:r>
          </w:p>
        </w:tc>
        <w:tc>
          <w:tcPr>
            <w:tcW w:type="dxa" w:w="1440"/>
          </w:tcPr>
          <w:p>
            <w:r>
              <w:rPr>
                <w:sz w:val="16"/>
              </w:rPr>
              <w:t>$680,000</w:t>
            </w:r>
          </w:p>
        </w:tc>
        <w:tc>
          <w:tcPr>
            <w:tcW w:type="dxa" w:w="1440"/>
          </w:tcPr>
          <w:p>
            <w:r>
              <w:rPr>
                <w:sz w:val="16"/>
              </w:rPr>
              <w:t>$0</w:t>
            </w:r>
          </w:p>
        </w:tc>
        <w:tc>
          <w:tcPr>
            <w:tcW w:type="dxa" w:w="1440"/>
          </w:tcPr>
          <w:p>
            <w:r>
              <w:rPr>
                <w:sz w:val="16"/>
              </w:rPr>
              <w:t>CLOSED</w:t>
            </w:r>
          </w:p>
        </w:tc>
      </w:tr>
      <w:tr>
        <w:tc>
          <w:tcPr>
            <w:tcW w:type="dxa" w:w="1440"/>
          </w:tcPr>
          <w:p>
            <w:r>
              <w:rPr>
                <w:sz w:val="16"/>
              </w:rPr>
              <w:t>2024</w:t>
            </w:r>
          </w:p>
        </w:tc>
        <w:tc>
          <w:tcPr>
            <w:tcW w:type="dxa" w:w="1440"/>
          </w:tcPr>
          <w:p>
            <w:r>
              <w:rPr>
                <w:sz w:val="16"/>
              </w:rPr>
              <w:t>Derivative</w:t>
              <w:br/>
              <w:t>Suit</w:t>
            </w:r>
          </w:p>
        </w:tc>
        <w:tc>
          <w:tcPr>
            <w:tcW w:type="dxa" w:w="1440"/>
          </w:tcPr>
          <w:p>
            <w:r>
              <w:rPr>
                <w:sz w:val="16"/>
              </w:rPr>
              <w:t>Shareholder derivative action alleging waste of corporate assets related to failed EHR system implementation ($42M write-off). Demand refused. Suit filed in Delaware Chancery.</w:t>
            </w:r>
          </w:p>
        </w:tc>
        <w:tc>
          <w:tcPr>
            <w:tcW w:type="dxa" w:w="1440"/>
          </w:tcPr>
          <w:p>
            <w:r>
              <w:rPr>
                <w:sz w:val="16"/>
              </w:rPr>
              <w:t>$1,240,000</w:t>
            </w:r>
          </w:p>
        </w:tc>
        <w:tc>
          <w:tcPr>
            <w:tcW w:type="dxa" w:w="1440"/>
          </w:tcPr>
          <w:p>
            <w:r>
              <w:rPr>
                <w:sz w:val="16"/>
              </w:rPr>
              <w:t>$0</w:t>
            </w:r>
          </w:p>
        </w:tc>
        <w:tc>
          <w:tcPr>
            <w:tcW w:type="dxa" w:w="1440"/>
          </w:tcPr>
          <w:p>
            <w:r>
              <w:rPr>
                <w:sz w:val="16"/>
              </w:rPr>
              <w:t>CLOSED</w:t>
              <w:br/>
              <w:t>(Settled)</w:t>
            </w:r>
          </w:p>
        </w:tc>
      </w:tr>
      <w:tr>
        <w:tc>
          <w:tcPr>
            <w:tcW w:type="dxa" w:w="1440"/>
          </w:tcPr>
          <w:p>
            <w:r>
              <w:rPr>
                <w:sz w:val="16"/>
              </w:rPr>
              <w:t>2023</w:t>
            </w:r>
          </w:p>
        </w:tc>
        <w:tc>
          <w:tcPr>
            <w:tcW w:type="dxa" w:w="1440"/>
          </w:tcPr>
          <w:p>
            <w:r>
              <w:rPr>
                <w:sz w:val="16"/>
              </w:rPr>
              <w:t>FLSA</w:t>
              <w:br/>
              <w:t>Class Action</w:t>
            </w:r>
          </w:p>
        </w:tc>
        <w:tc>
          <w:tcPr>
            <w:tcW w:type="dxa" w:w="1440"/>
          </w:tcPr>
          <w:p>
            <w:r>
              <w:rPr>
                <w:sz w:val="16"/>
              </w:rPr>
              <w:t>Nurse overtime class action — 3,200 class members. NOT COVERED under D&amp;O (wage/hour exclusion). Company paid from operating funds.</w:t>
            </w:r>
          </w:p>
        </w:tc>
        <w:tc>
          <w:tcPr>
            <w:tcW w:type="dxa" w:w="1440"/>
          </w:tcPr>
          <w:p>
            <w:r>
              <w:rPr>
                <w:sz w:val="16"/>
              </w:rPr>
              <w:t>N/A</w:t>
              <w:br/>
              <w:t>(Excluded)</w:t>
            </w:r>
          </w:p>
        </w:tc>
        <w:tc>
          <w:tcPr>
            <w:tcW w:type="dxa" w:w="1440"/>
          </w:tcPr>
          <w:p>
            <w:r>
              <w:rPr>
                <w:sz w:val="16"/>
              </w:rPr>
              <w:t>N/A</w:t>
            </w:r>
          </w:p>
        </w:tc>
        <w:tc>
          <w:tcPr>
            <w:tcW w:type="dxa" w:w="1440"/>
          </w:tcPr>
          <w:p>
            <w:r>
              <w:rPr>
                <w:sz w:val="16"/>
              </w:rPr>
              <w:t>CLOSED</w:t>
              <w:br/>
              <w:t>$4.2M</w:t>
            </w:r>
          </w:p>
        </w:tc>
      </w:tr>
      <w:tr>
        <w:tc>
          <w:tcPr>
            <w:tcW w:type="dxa" w:w="1440"/>
          </w:tcPr>
          <w:p>
            <w:r>
              <w:rPr>
                <w:sz w:val="16"/>
              </w:rPr>
              <w:t>2023</w:t>
            </w:r>
          </w:p>
        </w:tc>
        <w:tc>
          <w:tcPr>
            <w:tcW w:type="dxa" w:w="1440"/>
          </w:tcPr>
          <w:p>
            <w:r>
              <w:rPr>
                <w:sz w:val="16"/>
              </w:rPr>
              <w:t>Fiduciary</w:t>
            </w:r>
          </w:p>
        </w:tc>
        <w:tc>
          <w:tcPr>
            <w:tcW w:type="dxa" w:w="1440"/>
          </w:tcPr>
          <w:p>
            <w:r>
              <w:rPr>
                <w:sz w:val="16"/>
              </w:rPr>
              <w:t>401(k) excessive fee suit (Garcia v. Pinnacle). Defense costs covered under fiduciary policy. Dismissed on SJ — appeal pending.</w:t>
            </w:r>
          </w:p>
        </w:tc>
        <w:tc>
          <w:tcPr>
            <w:tcW w:type="dxa" w:w="1440"/>
          </w:tcPr>
          <w:p>
            <w:r>
              <w:rPr>
                <w:sz w:val="16"/>
              </w:rPr>
              <w:t>$486,000</w:t>
              <w:br/>
              <w:t>(Defense)</w:t>
            </w:r>
          </w:p>
        </w:tc>
        <w:tc>
          <w:tcPr>
            <w:tcW w:type="dxa" w:w="1440"/>
          </w:tcPr>
          <w:p>
            <w:r>
              <w:rPr>
                <w:sz w:val="16"/>
              </w:rPr>
              <w:t>$200,000</w:t>
            </w:r>
          </w:p>
        </w:tc>
        <w:tc>
          <w:tcPr>
            <w:tcW w:type="dxa" w:w="1440"/>
          </w:tcPr>
          <w:p>
            <w:r>
              <w:rPr>
                <w:sz w:val="16"/>
              </w:rPr>
              <w:t>OPEN</w:t>
              <w:br/>
              <w:t>Appeal</w:t>
            </w:r>
          </w:p>
        </w:tc>
      </w:tr>
      <w:tr>
        <w:tc>
          <w:tcPr>
            <w:tcW w:type="dxa" w:w="1440"/>
          </w:tcPr>
          <w:p>
            <w:r>
              <w:rPr>
                <w:sz w:val="16"/>
              </w:rPr>
              <w:t>2022</w:t>
            </w:r>
          </w:p>
        </w:tc>
        <w:tc>
          <w:tcPr>
            <w:tcW w:type="dxa" w:w="1440"/>
          </w:tcPr>
          <w:p>
            <w:r>
              <w:rPr>
                <w:sz w:val="16"/>
              </w:rPr>
              <w:t>Regulatory</w:t>
            </w:r>
          </w:p>
        </w:tc>
        <w:tc>
          <w:tcPr>
            <w:tcW w:type="dxa" w:w="1440"/>
          </w:tcPr>
          <w:p>
            <w:r>
              <w:rPr>
                <w:sz w:val="16"/>
              </w:rPr>
              <w:t>DOJ/OIG investigation re: billing practices at 3 surgery centers. No charges filed. Defense costs only.</w:t>
            </w:r>
          </w:p>
        </w:tc>
        <w:tc>
          <w:tcPr>
            <w:tcW w:type="dxa" w:w="1440"/>
          </w:tcPr>
          <w:p>
            <w:r>
              <w:rPr>
                <w:sz w:val="16"/>
              </w:rPr>
              <w:t>$1,840,000</w:t>
              <w:br/>
              <w:t>(Defense)</w:t>
            </w:r>
          </w:p>
        </w:tc>
        <w:tc>
          <w:tcPr>
            <w:tcW w:type="dxa" w:w="1440"/>
          </w:tcPr>
          <w:p>
            <w:r>
              <w:rPr>
                <w:sz w:val="16"/>
              </w:rPr>
              <w:t>$0</w:t>
            </w:r>
          </w:p>
        </w:tc>
        <w:tc>
          <w:tcPr>
            <w:tcW w:type="dxa" w:w="1440"/>
          </w:tcPr>
          <w:p>
            <w:r>
              <w:rPr>
                <w:sz w:val="16"/>
              </w:rPr>
              <w:t>CLOSED</w:t>
            </w:r>
          </w:p>
        </w:tc>
      </w:tr>
      <w:tr>
        <w:tc>
          <w:tcPr>
            <w:tcW w:type="dxa" w:w="1440"/>
          </w:tcPr>
          <w:p>
            <w:r>
              <w:rPr>
                <w:sz w:val="16"/>
              </w:rPr>
              <w:t>2021</w:t>
            </w:r>
          </w:p>
        </w:tc>
        <w:tc>
          <w:tcPr>
            <w:tcW w:type="dxa" w:w="1440"/>
          </w:tcPr>
          <w:p>
            <w:r>
              <w:rPr>
                <w:sz w:val="16"/>
              </w:rPr>
              <w:t>D&amp;O</w:t>
              <w:br/>
              <w:t>(Side A)</w:t>
            </w:r>
          </w:p>
        </w:tc>
        <w:tc>
          <w:tcPr>
            <w:tcW w:type="dxa" w:w="1440"/>
          </w:tcPr>
          <w:p>
            <w:r>
              <w:rPr>
                <w:sz w:val="16"/>
              </w:rPr>
              <w:t>Former CEO/founder sued individually by PE investor alleging breach of representations in 2019 recapitalization. Non-indemnifiable by company per Delaware law. Settled confidentially.</w:t>
            </w:r>
          </w:p>
        </w:tc>
        <w:tc>
          <w:tcPr>
            <w:tcW w:type="dxa" w:w="1440"/>
          </w:tcPr>
          <w:p>
            <w:r>
              <w:rPr>
                <w:sz w:val="16"/>
              </w:rPr>
              <w:t>$2,400,000</w:t>
            </w:r>
          </w:p>
        </w:tc>
        <w:tc>
          <w:tcPr>
            <w:tcW w:type="dxa" w:w="1440"/>
          </w:tcPr>
          <w:p>
            <w:r>
              <w:rPr>
                <w:sz w:val="16"/>
              </w:rPr>
              <w:t>$0</w:t>
            </w:r>
          </w:p>
        </w:tc>
        <w:tc>
          <w:tcPr>
            <w:tcW w:type="dxa" w:w="1440"/>
          </w:tcPr>
          <w:p>
            <w:r>
              <w:rPr>
                <w:sz w:val="16"/>
              </w:rPr>
              <w:t>CLOSED</w:t>
            </w:r>
          </w:p>
        </w:tc>
      </w:tr>
    </w:tbl>
    <w:p/>
    <w:p>
      <w:pPr>
        <w:spacing w:after="120"/>
      </w:pPr>
      <w:r>
        <w:rPr>
          <w:b/>
          <w:color w:val="334155"/>
          <w:sz w:val="20"/>
        </w:rPr>
        <w:t>5-Year D&amp;O/Fiduciary Incurred: $11,046,000 (including $4,166,000 defense costs)</w:t>
      </w:r>
    </w:p>
    <w:p>
      <w:pPr>
        <w:spacing w:after="120"/>
      </w:pPr>
      <w:r>
        <w:rPr>
          <w:b w:val="0"/>
          <w:color w:val="334155"/>
          <w:sz w:val="20"/>
        </w:rPr>
        <w:t>Note: The open securities class action (2025) has reserve of $4.2M against a $15M limit. If this claim develops adversely, it could consume 28% of the policy limit. Excess carriers (Chubb Layer 2) have been put on notice.</w:t>
      </w:r>
    </w:p>
    <w:p/>
    <w:p>
      <w:pPr>
        <w:pStyle w:val="Heading2"/>
      </w:pPr>
      <w:r>
        <w:rPr>
          <w:color w:val="00205B"/>
        </w:rPr>
        <w:t>Part IX — Special Underwriting Conditions</w:t>
      </w:r>
    </w:p>
    <w:p>
      <w:pPr>
        <w:spacing w:after="120"/>
      </w:pPr>
      <w:r>
        <w:rPr>
          <w:b w:val="0"/>
          <w:color w:val="334155"/>
          <w:sz w:val="20"/>
        </w:rPr>
        <w:t>1. SECURITIES CLAIM REPORTING: Any Securities Claim must be reported within 15 days of service of process on any Insured Person. Late reporting may result in coverage denial.</w:t>
      </w:r>
    </w:p>
    <w:p>
      <w:pPr>
        <w:spacing w:after="120"/>
      </w:pPr>
      <w:r>
        <w:rPr>
          <w:b w:val="0"/>
          <w:color w:val="334155"/>
          <w:sz w:val="20"/>
        </w:rPr>
        <w:t>2. INDEPENDENT COUNSEL: AIG has the right to approve defense counsel selected by the Insured. Pre-approved panel firms for securities matters: Sullivan &amp; Cromwell, Skadden Arps, Gibson Dunn, Latham &amp; Watkins. Maximum hourly rates: Partners: $1,450, Associates: $875, Paralegals: $425.</w:t>
      </w:r>
    </w:p>
    <w:p>
      <w:pPr>
        <w:spacing w:after="120"/>
      </w:pPr>
      <w:r>
        <w:rPr>
          <w:b w:val="0"/>
          <w:color w:val="334155"/>
          <w:sz w:val="20"/>
        </w:rPr>
        <w:t>3. ALLOCATION: Where a Claim involves both covered and uncovered matters, or both Insured Persons and non-insured parties, AIG and the Insured shall use best efforts to agree on a fair and proper allocation. If unable to agree, the matter shall be submitted to binding arbitration per AAA rules.</w:t>
      </w:r>
    </w:p>
    <w:p>
      <w:pPr>
        <w:spacing w:after="120"/>
      </w:pPr>
      <w:r>
        <w:rPr>
          <w:b w:val="0"/>
          <w:color w:val="334155"/>
          <w:sz w:val="20"/>
        </w:rPr>
        <w:t>4. HAMMER CLAUSE (Modified): If AIG recommends settlement of a Claim and the Insured refuses, AIG's liability shall not exceed: (a) the recommended settlement amount, plus (b) 70% of any additional Loss incurred above the settlement amount, plus (c) defense costs incurred prior to the settlement recommendation. The 30/70 split applies (70% AIG, 30% Insured).</w:t>
      </w:r>
    </w:p>
    <w:p>
      <w:pPr>
        <w:spacing w:after="120"/>
      </w:pPr>
      <w:r>
        <w:rPr>
          <w:b w:val="0"/>
          <w:color w:val="334155"/>
          <w:sz w:val="20"/>
        </w:rPr>
        <w:t>5. CHANGE OF CONTROL: If during the Policy Period there is a Change of Control (acquisition of &gt;50% of voting securities, merger, or asset sale), coverage under this policy shall: (a) continue for Wrongful Acts occurring prior to the Change of Control date; (b) terminate for Wrongful Acts occurring after the Change of Control date; and (c) an automatic 6-year Discovery Period shall apply at no additional premium for Side A only.</w:t>
      </w:r>
    </w:p>
    <w:p>
      <w:pPr>
        <w:spacing w:after="120"/>
      </w:pPr>
      <w:r>
        <w:rPr>
          <w:b w:val="0"/>
          <w:color w:val="334155"/>
          <w:sz w:val="20"/>
        </w:rPr>
        <w:t>6. PENDING MATTERS — SCHEDULE A: The following matters are known to AIG and are excluded from coverage (or subject to sublimits as noted): (a) Garcia v. Pinnacle — 401(k) fee suit (Fiduciary sublimit: $2M); (b) Midwest Pension Trust v. Pinnacle — securities class action (currently covered, reserves established); (c) TCEQ investigation of subsidiary medical waste disposal practices (not yet a formal Claim — monitoring).</w:t>
      </w:r>
    </w:p>
    <w:p/>
    <w:p>
      <w:r>
        <w:rPr>
          <w:i/>
          <w:color w:val="64748B"/>
          <w:sz w:val="17"/>
        </w:rPr>
        <w:t>This policy is issued on a Claims-Made and Reported basis. Only Claims first made against an Insured during the Policy Period (or applicable Extended Reporting Period) AND reported to AIG during the Policy Period (or within 60 days after expiration) are covered. The Retroactive Date limits coverage to Wrongful Acts occurring on or after January 1, 2018. No coverage is provided for any Wrongful Act occurring prior to this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