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205B"/>
        </w:rPr>
        <w:t>Directors &amp; Officers and Fiduciary Liability</w:t>
        <w:br/>
        <w:t>Underwriting Guidelines</w:t>
      </w:r>
    </w:p>
    <w:p>
      <w:r>
        <w:rPr>
          <w:color w:val="64748B"/>
          <w:sz w:val="20"/>
        </w:rPr>
        <w:t>AIG Financial Lines  |  Effective: January 1, 2026  |  Version 6.0</w:t>
        <w:br/>
        <w:t>Classification: INTERNAL USE ONLY  |  Approved by: Head of Financial Lines</w:t>
      </w:r>
    </w:p>
    <w:p/>
    <w:p>
      <w:pPr>
        <w:spacing w:after="120"/>
      </w:pPr>
      <w:r>
        <w:rPr>
          <w:b/>
          <w:color w:val="334155"/>
          <w:sz w:val="20"/>
        </w:rPr>
        <w:t>These guidelines apply to all Directors &amp; Officers (D&amp;O), Employment Practices Liability (EPLI), and Fiduciary Liability policies written by AIG Financial Lines. The guidelines cover public company D&amp;O, private/not-for-profit D&amp;O, Side A DIC, and fiduciary liability placements. All submissions must be evaluated against these standards before quotation.</w:t>
      </w:r>
    </w:p>
    <w:p>
      <w:r>
        <w:br w:type="page"/>
      </w:r>
    </w:p>
    <w:p>
      <w:pPr>
        <w:pStyle w:val="Heading1"/>
      </w:pPr>
      <w:r>
        <w:rPr>
          <w:color w:val="00205B"/>
        </w:rPr>
        <w:t>SECTION 1: RISK CLASSIFICATION</w:t>
      </w:r>
    </w:p>
    <w:p>
      <w:pPr>
        <w:spacing w:after="120"/>
      </w:pPr>
      <w:r>
        <w:rPr>
          <w:b w:val="0"/>
          <w:color w:val="334155"/>
          <w:sz w:val="20"/>
        </w:rPr>
        <w:t>D&amp;O risk characteristics vary significantly based on company type, size, industry, and financial health. These classification standards ensure proper risk segmentation and pricing adequacy.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Threshold / Standard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DO-101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Public vs. Private Company Criteria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Public company D&amp;O: Any entity with securities registered under the Securities Exchange Act of 1934 (SEC reporting), including: NYSE/NASDAQ-listed companies, OTC-traded companies, SPACs (pre- and post-de-SPAC), ADR issuers with U.S. listings. Private company D&amp;O: All other entities including privately held corporations, LLCs, partnerships, not-for-profit organizations, and privately held subsidiaries of public companies.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DO-102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Market Capitalization Tiers and Limits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Micro-cap (&lt; $300M market cap): Maximum $10M D&amp;O limit per policy. Small-cap ($300M-$2B): Maximum $15M D&amp;O limit per policy. Mid-cap ($2B-$10B): Maximum $25M D&amp;O limit per policy. Large-cap ($10B-$100B): Maximum $50M D&amp;O limit per policy. Mega-cap (&gt; $100B): Maximum $25M AIG participation; tower structure required.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DO-103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Revenue-Based Retention Minimums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Revenue &lt; $100M: Minimum retention $100,000 (Securities Entity, Side B/C). Revenue $100M-$500M: Minimum retention $250,000. Revenue $500M-$1B: Minimum retention $500,000. Revenue $1B-$5B: Minimum retention $1,000,000. Revenue $5B-$10B: Minimum retention $2,500,000. Revenue &gt; $10B: Minimum retention $5,000,000. Side A (individual director/officer only): No retention.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DO-104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Industry Classification Risk Tiers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Tier 1 (Favorable): Technology (SaaS/enterprise software), professional services, consumer staples. Tier 2 (Standard): Manufacturing, retail, transportation, real estate (non-REIT). Tier 3 (Elevated): Biotech/pharma (clinical stage), financial services, cryptocurrency/blockchain, SPACs. Tier 4 (High Risk): Cannabis-related SPACs, Chinese reverse mergers (VIE structures), de-SPAC within 24 months, IPO within 12 months. Tier 4 risks: refer to Financial Lines VP, minimum +50% rate surcharge.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DO-105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Not-for-Profit Classification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Standard NFP: Charitable organizations, trade associations, private foundations with annual budget &lt; $100M. Maximum D&amp;O limit: $10M. Large NFP: Healthcare systems, universities, major charities with budget &gt; $100M. Underwrite as comparable private company with fiduciary overlay. Government-affiliated entities: decline (sovereign immunity considerations).</w:t>
            </w:r>
          </w:p>
        </w:tc>
      </w:tr>
    </w:tbl>
    <w:p/>
    <w:p>
      <w:pPr>
        <w:pStyle w:val="Heading1"/>
      </w:pPr>
      <w:r>
        <w:rPr>
          <w:color w:val="00205B"/>
        </w:rPr>
        <w:t>SECTION 2: COVERAGE STRUCTURE</w:t>
      </w:r>
    </w:p>
    <w:p>
      <w:pPr>
        <w:spacing w:after="120"/>
      </w:pPr>
      <w:r>
        <w:rPr>
          <w:b w:val="0"/>
          <w:color w:val="334155"/>
          <w:sz w:val="20"/>
        </w:rPr>
        <w:t>D&amp;O coverage is structured in multiple insuring agreements (Sides A, B, and C). Each side responds to different types of loss and has distinct underwriting considerations.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Threshold / Standard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DO-201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Side A Coverage Parameters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Side A (Non-Indemnifiable Loss): Covers individual directors and officers when the company cannot or will not indemnify. No retention applies. Required on all public company D&amp;O placements. Side A limit: may be equal to or greater than Side B/C limit. Side A priority: always primary to and non-contributory with Side B/C.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DO-202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Side B/C Coverage Parameters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Side B (Corporate Reimbursement): Covers the entity when it indemnifies D&amp;Os. Side C (Entity Securities): Covers the entity for securities claims (public companies only). Side C limit: shared with or separate from Side A/B per policy structure. Side C for private companies: entity coverage for employment claims, regulatory, antitrust, and customer claims only.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DO-203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DIC (Difference in Conditions) Requirements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Side A DIC required for all public companies with market cap &gt; $1B. DIC conditions: drops down when underlying D&amp;O is exhausted, eroded by defense costs, insolvent, or fails to respond due to exclusion, rescission, or bankruptcy of insurer. DIC cannot impose broader exclusions than the underlying D&amp;O policy. DIC limit: typically 50% to 100% of primary D&amp;O limit.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DO-204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Hammer Clause Standards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Maximum consent-to-settle hammer ratio: 70/30 (AIG pays 70%, insured bears 30% of any excess settlement amount beyond the recommended settlement). Full hammer (100/0): prohibited on AIG Financial Lines policies. Modified hammer (50/50): available only for large-cap and mega-cap accounts with established claims history. All hammer clauses: defense costs continue to be covered regardless of settlement dispute.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DO-205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Allocation Methodology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For mixed claims (involving both covered and non-covered parties or matters): Apply the "larger settlement" allocation method as the primary approach. Relative exposure allocation: acceptable as secondary methodology. Pre-determined allocation: 80% covered / 20% non-covered for securities class actions as default unless parties agree otherwise. Entity vs. individual allocation: 50/50 presumption absent specific facts.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DO-206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Order of Payments Priority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 the event of policy exhaustion, AIG will apply the following priority of payments: (1) Side A (individual non-indemnifiable loss) first. (2) Side B (corporate indemnification) second. (3) Side C (entity securities/employment) third. Priority of payments clause is mandatory on all public company D&amp;O placements.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5B"/>
        </w:rPr>
        <w:t>SECTION 3: SECURITIES CLAIMS</w:t>
      </w:r>
    </w:p>
    <w:p>
      <w:pPr>
        <w:spacing w:after="120"/>
      </w:pPr>
      <w:r>
        <w:rPr>
          <w:b w:val="0"/>
          <w:color w:val="334155"/>
          <w:sz w:val="20"/>
        </w:rPr>
        <w:t>Securities class action claims represent the most significant exposure on public company D&amp;O policies. These standards govern claim reporting, retroactive date management, and known-circumstances treatment.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Threshold / Standard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DO-301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Reporting Requirements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Claims must be reported within 15 days from date of service of process or written demand. Late reporting beyond 30 days: coverage may be denied if AIG demonstrates prejudice. Circumstances that may give rise to a claim: may be reported during the policy period with reasonable detail including the nature of the wrongful act, identity of potential claimants, and potential quantum of damages.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DO-302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Known Circumstances Exclusion Standards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Exclude claims arising from facts, circumstances, or wrongful acts known to any insured person prior to the policy inception date. Standard: "knew or should have reasonably foreseen" test applies. Application warranty statement required from CEO, CFO, General Counsel, and Corporate Secretary. Material misrepresentation in application: grounds for rescission of entire policy.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DO-303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Retroactive Date Management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New business: Retroactive date equals policy inception date (no prior acts). Exception: mature companies (10+ years public) with clean loss history may receive retroactive date matching first D&amp;O policy inception, with prior acts coverage. Renewal: Maintain existing retroactive date. Never advance the retroactive date at renewal without VP approval and minimum 20% premium credit to insured.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DO-304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SEC Investigation Response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Informal SEC inquiry: reportable as circumstance, defense costs coverage triggered upon receipt of formal order of investigation (FOI). Formal SEC investigation: defense costs coverage begins upon receipt of Wells Notice or subpoena, whichever is earlier. Pre-claim inquiry costs sublimit: $500,000 within the policy limit. SOX Section 304 clawback defense: covered.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DO-305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Securities Class Action Benchmarks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Average defense cost for securities class action (through trial): $8M-$15M. Average settlement for securities class action: $20M-$40M (varies by market cap). Underwriters must ensure adequate total tower limits relative to these benchmarks. Minimum recommended total D&amp;O tower: 5% of market cap or $25M, whichever is greater.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DO-306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Derivative Litigation Standards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Shareholder derivative claims: covered under standard D&amp;O policy. Corporate therapeutic benefit / fee-shifting: covered up to $2M sublimit. Special Litigation Committee (SLC) costs: covered as defense costs. Books and records inspection demands (DGCL Section 220): covered under pre-claim inquiry sublimit.</w:t>
            </w:r>
          </w:p>
        </w:tc>
      </w:tr>
    </w:tbl>
    <w:p/>
    <w:p>
      <w:pPr>
        <w:pStyle w:val="Heading1"/>
      </w:pPr>
      <w:r>
        <w:rPr>
          <w:color w:val="00205B"/>
        </w:rPr>
        <w:t>SECTION 4: EMPLOYMENT PRACTICES LIABILITY TREATMENT</w:t>
      </w:r>
    </w:p>
    <w:p>
      <w:pPr>
        <w:spacing w:after="120"/>
      </w:pPr>
      <w:r>
        <w:rPr>
          <w:b w:val="0"/>
          <w:color w:val="334155"/>
          <w:sz w:val="20"/>
        </w:rPr>
        <w:t>Employment Practices Liability Insurance (EPLI) covers claims by employees against the company and its directors/officers for wrongful employment practices. EPLI may be written as a standalone policy or as part of the D&amp;O program.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Threshold / Standard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DO-401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Required EPLI Limits by Employee Count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Employees 1-50: Minimum $1,000,000 per claim / $1,000,000 aggregate. Employees 51-250: Minimum $2,000,000 per claim / $2,000,000 aggregate. Employees 251-1,000: Minimum $3,000,000 per claim / $5,000,000 aggregate. Employees 1,001-5,000: Minimum $5,000,000 per claim / $5,000,000 aggregate. Employees &gt; 5,000: Minimum $10,000,000 per claim / $10,000,000 aggregate.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DO-402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Wage and Hour Exclusion Standards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Standard EPLI policy: Wage and hour claims EXCLUDED (including FLSA, state wage laws, meal/rest period violations, and independent contractor misclassification). Wage and hour defense costs sublimit: available by endorsement, maximum $500,000 or 25% of EPLI limit (whichever is less). Defense costs only; no indemnity coverage. California and New York accounts: require explicit wage/hour risk assessment due to elevated PAGA and state law exposure.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DO-403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Third-Party EPLI Requirements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Third-party EPLI (claims by customers, vendors, patients against employees): Required for all customer-facing businesses with &gt; 100 employees. Required industries: hospitality, retail, healthcare, financial services, education. Third-party EPLI limit: Shared with first-party EPLI aggregate. Third-party EPLI retention: 2x first-party retention.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DO-404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EPLI Retention Requirements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All EPLI claims: Minimum retention $10,000 per claim for companies &lt; 100 employees. $25,000 per claim for 100-500 employees. $50,000 per claim for 500-1,000 employees. $100,000 per claim for &gt; 1,000 employees. Class/collective action retention: 5x individual claim retention, minimum $250,000.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DO-405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Pre-Employment Practice Requirements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All accounts with EPLI: Must have written employee handbook reviewed by employment counsel within last 24 months. Must have documented anti-harassment and anti-discrimination training (annual for managers, biennial for all employees). Accounts without training program: +15% EPLI surcharge. Accounts with &gt; 3 EEOC charges in 24 months: refer to VP with loss analysis.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5B"/>
        </w:rPr>
        <w:t>SECTION 5: FIDUCIARY LIABILITY STANDARDS</w:t>
      </w:r>
    </w:p>
    <w:p>
      <w:pPr>
        <w:spacing w:after="120"/>
      </w:pPr>
      <w:r>
        <w:rPr>
          <w:b w:val="0"/>
          <w:color w:val="334155"/>
          <w:sz w:val="20"/>
        </w:rPr>
        <w:t>Fiduciary Liability coverage protects plan fiduciaries against claims alleging breach of fiduciary duty under ERISA. These guidelines address plan types, emerging risks, and ESOP-specific considerations.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Threshold / Standard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DO-501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Plan Types Requiring Coverage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All ERISA-governed plans require fiduciary coverage including: Defined benefit pension plans, 401(k) and 403(b) defined contribution plans, employee stock ownership plans (ESOPs), health and welfare plans, retiree medical plans, and cafeteria plans (Section 125). Non-ERISA plans (government, church): fiduciary coverage optional but recommended. Multiemployer (Taft-Hartley) plans: require separate policy; do not include on corporate fiduciary policy.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DO-502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Excessive Fee Litigation Risk Factors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Elevated risk if any of the following apply: Plan assets &gt; $1 billion, use of proprietary funds &gt; 30% of plan assets, revenue sharing arrangements with recordkeeper, total plan expense ratio &gt; 75 bps for equity funds, failure to document investment committee process quarterly, no RFP for recordkeeping services within last 5 years. If 3+ risk factors present: apply +25% fiduciary surcharge and require plan governance questionnaire.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DO-503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ESOP Valuation Review Requirements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All ESOP risks: require independent annual valuation by qualified ESOP appraiser (ASA or similar designation). Decline if: ESOP valuation is stale (&gt; 18 months old), valuation was performed by a non-independent appraiser, or the company has had a material financial event since last valuation (M&amp;A, restatement, major litigation). ESOP transaction coverage (leveraged ESOP formation): require separate transaction liability policy; do not cover under standard fiduciary.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DO-504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Settlor Function Exclusion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Standard fiduciary policy excludes settlor function activities including: plan design, amendment, termination, and employer contribution decisions. Ensure insured understands the distinction between fiduciary and settlor functions. Settlor function buyback: not available on AIG Fiduciary form.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DO-505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Voluntary Compliance Programs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Credit for voluntary compliance: If insured participates in DOL Voluntary Fiduciary Correction Program (VFCP) or IRS Employee Plans Compliance Resolution System (EPCRS): apply -5% fiduciary premium credit. Require documentation of participation. Self-correction (SCP) under EPCRS: acceptable for -3% credit.</w:t>
            </w:r>
          </w:p>
        </w:tc>
      </w:tr>
    </w:tbl>
    <w:p/>
    <w:p>
      <w:pPr>
        <w:pStyle w:val="Heading1"/>
      </w:pPr>
      <w:r>
        <w:rPr>
          <w:color w:val="00205B"/>
        </w:rPr>
        <w:t>SECTION 6: FINANCIAL ANALYSIS</w:t>
      </w:r>
    </w:p>
    <w:p>
      <w:pPr>
        <w:spacing w:after="120"/>
      </w:pPr>
      <w:r>
        <w:rPr>
          <w:b w:val="0"/>
          <w:color w:val="334155"/>
          <w:sz w:val="20"/>
        </w:rPr>
        <w:t>D&amp;O underwriting requires thorough financial analysis of the insured entity. The following financial health indicators and thresholds guide risk selection and pricing decisions.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Threshold / Standard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DO-601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D&amp;O Financial Health Indicators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Evaluate the following for all D&amp;O submissions: Altman Z-Score: Decline if &lt; 1.23 (distress zone). Refer if 1.23-2.90 (grey zone). Accept if &gt; 2.90 (safe zone). Current Ratio: Minimum 1.0 required; &lt; 0.8 = decline. Debt-to-Equity Ratio: Maximum 3.0; &gt; 4.0 = decline. Operating Cash Flow: Must be positive in 2 of last 3 fiscal years. Going Concern Opinion: Auto-decline if auditor has issued a going concern qualification.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DO-602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Bankruptcy Risk Thresholds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Companies in Chapter 11 reorganization: decline all new D&amp;O placements. Companies emerged from bankruptcy &lt; 3 years: Tier 4 risk classification, maximum $5M D&amp;O limit, retroactive date = emergence date. Companies with publicly traded debt trading below 60 cents on the dollar: refer to VP with bankruptcy probability analysis. Pre-petition D&amp;O tail: available for 6-year extended reporting period at 200% of premium.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DO-603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M&amp;A Disclosure Requirements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All pending or completed M&amp;A transactions within last 24 months must be disclosed. Completed acquisitions: require target company loss history (5 years). Target company integration: covered under acquiring company's policy after 90-day reporting window; longer integration periods require endorsement. Pending transactions: full transaction details required including advisors, consideration structure, regulatory approvals, and timeline. Hostile takeovers: do not provide target-side run-off coverage.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DO-604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Restatement Analysis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Any financial restatement within last 5 years: auto-refer to VP. Revenue recognition restatement: +30% D&amp;O surcharge minimum. Material weakness in internal controls: +20% surcharge and require remediation plan. SEC comment letter regarding accounting: document resolution before quoting. Multiple restatements in 5 years: decline.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DO-605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Stock Volatility Analysis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For public companies: calculate 1-year stock price volatility (beta). Beta &gt; 2.0: elevated D&amp;O risk, apply +15% surcharge. Stock price decline &gt; 30% in any 90-day period during last 12 months: require securities litigation risk assessment before quoting. Penny stock (share price &lt; $1.00): decline or refer to VP with justification.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5B"/>
        </w:rPr>
        <w:t>SECTION 7: CLAIM HISTORY AND PRICING</w:t>
      </w:r>
    </w:p>
    <w:p>
      <w:pPr>
        <w:spacing w:after="120"/>
      </w:pPr>
      <w:r>
        <w:rPr>
          <w:b w:val="0"/>
          <w:color w:val="334155"/>
          <w:sz w:val="20"/>
        </w:rPr>
        <w:t>D&amp;O claim history analysis is critical to pricing adequacy and risk selection. These standards address loss ratio thresholds, defense cost benchmarks, and panel counsel guidelines.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0020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Threshold / Standard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DO-701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Maximum 5-Year D&amp;O Loss Ratio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Public company D&amp;O: Decline if 5-year loss ratio &gt; 80% (incurred including defense costs). Private company D&amp;O: Decline if 5-year loss ratio &gt; 70%. EPLI: Decline if 5-year loss ratio &gt; 65%. Fiduciary: Decline if 5-year loss ratio &gt; 60%. Loss ratio calculation must be ground-up, including defense costs, and net of any subrogation or recovery.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DO-702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Defense Cost Benchmarks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Securities class action (motion to dismiss stage): $1.5M-$3M expected defense costs. Securities class action (through discovery): $5M-$8M expected defense costs. Securities class action (through trial): $8M-$15M expected defense costs. EPLI single plaintiff: $50K-$150K expected defense costs. EPLI class/collective action: $500K-$2M expected defense costs. Fiduciary excessive fee litigation: $2M-$5M expected defense costs. These benchmarks inform reserve adequacy and limit adequacy analysis.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DO-703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Panel Counsel Rate Guidelines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AIG approved panel counsel rates (maximum hourly without VP approval): Senior Partner: $950/hour. Partner: $750/hour. Senior Associate: $550/hour. Associate: $400/hour. Paralegal: $200/hour. Non-panel counsel: require prior written approval from AIG Claims; rates capped at panel counsel rates unless exceptional circumstances documented. Staffing guidelines: maximum 2 partners and 3 associates per active matter.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DO-704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Claim Frequency Thresholds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Public company D&amp;O: Decline if &gt; 2 securities claims in any 5-year period. Private company D&amp;O: Decline if &gt; 3 management liability claims in 5 years. EPLI: Decline if &gt; 5 employment claims per 1,000 employees per year. EEOC charges: Refer if &gt; 3 charges in any 24-month period. Prior claim frequency evaluation must cover all prior D&amp;O carriers, not just AIG.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DO-705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Renewal Pricing Discipline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Maximum renewal rate decrease: -10% without VP approval, -15% with VP approval. Rate decreases &gt; 15%: require Financial Lines Leader approval and documented rationale. No rate decreases if any claim reported in expiring policy period. Minimum rate increase triggers: any reported claim (+10% minimum), deteriorating financial health indicators (+15% minimum), industry sector downgrade (+10% minimum), adverse stock volatility event (+20% minimum).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DO-706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Extended Reporting Period (Tail) Pricing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1-year tail: 100% of annual premium. 2-year tail: 150% of annual premium. 3-year tail: 175% of annual premium. 6-year tail: 200% of annual premium. Tail must be elected within 60 days of policy expiration/non-renewal. Change of control: automatic 6-year run-off at 200% premium (may be pre-negotiated at inception).</w:t>
            </w:r>
          </w:p>
        </w:tc>
      </w:tr>
    </w:tbl>
    <w:p/>
    <w:p/>
    <w:p>
      <w:r>
        <w:rPr>
          <w:i/>
          <w:color w:val="64748B"/>
          <w:sz w:val="16"/>
        </w:rPr>
        <w:t>AIG Directors &amp; Officers and Fiduciary Liability Underwriting Guidelines v6.0 | Effective 01/01/2026 | Supersedes all prior versions. These guidelines are proprietary and confidential. Distribution outside AIG is strictly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