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205B"/>
        </w:rPr>
        <w:t>Excess / Umbrella Liability Underwriting Guidelines</w:t>
      </w:r>
    </w:p>
    <w:p>
      <w:r>
        <w:rPr>
          <w:color w:val="64748B"/>
          <w:sz w:val="20"/>
        </w:rPr>
        <w:t>AIG North America  |  Effective: January 1, 2026  |  Version 5.1</w:t>
        <w:br/>
        <w:t>Classification: INTERNAL USE ONLY  |  Approved by: Head of Excess Casualty</w:t>
      </w:r>
    </w:p>
    <w:p/>
    <w:p>
      <w:pPr>
        <w:spacing w:after="120"/>
      </w:pPr>
      <w:r>
        <w:rPr>
          <w:b/>
          <w:color w:val="334155"/>
          <w:sz w:val="20"/>
        </w:rPr>
        <w:t>These guidelines govern all excess and umbrella liability placements, including lead umbrella, excess follow-form, and quota share participations. All underwriters must verify underlying coverage structure and carrier quality before binding any excess or umbrella layer. Deviations from these guidelines require Excess Casualty Line Leader approval.</w:t>
      </w:r>
    </w:p>
    <w:p>
      <w:r>
        <w:br w:type="page"/>
      </w:r>
    </w:p>
    <w:p>
      <w:pPr>
        <w:pStyle w:val="Heading1"/>
      </w:pPr>
      <w:r>
        <w:rPr>
          <w:color w:val="00205B"/>
        </w:rPr>
        <w:t>SECTION 1: UNDERLYING REQUIREMENTS</w:t>
      </w:r>
    </w:p>
    <w:p>
      <w:pPr>
        <w:spacing w:after="120"/>
      </w:pPr>
      <w:r>
        <w:rPr>
          <w:b w:val="0"/>
          <w:color w:val="334155"/>
          <w:sz w:val="20"/>
        </w:rPr>
        <w:t>AIG excess/umbrella policies sit above a defined schedule of underlying coverage. The adequacy and quality of the underlying program directly impacts the excess layer's exposure. These minimum standards are non-negotiable.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EU-101</w:t>
            </w:r>
          </w:p>
        </w:tc>
        <w:tc>
          <w:tcPr>
            <w:tcW w:type="dxa" w:w="2880"/>
          </w:tcPr>
          <w:p>
            <w:r>
              <w:rPr>
                <w:sz w:val="17"/>
              </w:rPr>
              <w:t>Minimum Underlying Limits - Commercial General Liability</w:t>
            </w:r>
          </w:p>
        </w:tc>
        <w:tc>
          <w:tcPr>
            <w:tcW w:type="dxa" w:w="2880"/>
          </w:tcPr>
          <w:p>
            <w:r>
              <w:rPr>
                <w:sz w:val="17"/>
              </w:rPr>
              <w:t>CGL: $1,000,000 per occurrence / $2,000,000 general aggregate / $2,000,000 products-completed operations aggregate / $1,000,000 personal &amp; advertising injury. Must include contractual liability, independent contractors, and products-completed operations coverage. XCU exclusions: not acceptable.</w:t>
            </w:r>
          </w:p>
        </w:tc>
      </w:tr>
      <w:tr>
        <w:tc>
          <w:tcPr>
            <w:tcW w:type="dxa" w:w="2880"/>
          </w:tcPr>
          <w:p>
            <w:r>
              <w:rPr>
                <w:sz w:val="17"/>
              </w:rPr>
              <w:t>EU-102</w:t>
            </w:r>
          </w:p>
        </w:tc>
        <w:tc>
          <w:tcPr>
            <w:tcW w:type="dxa" w:w="2880"/>
          </w:tcPr>
          <w:p>
            <w:r>
              <w:rPr>
                <w:sz w:val="17"/>
              </w:rPr>
              <w:t>Minimum Underlying Limits - Commercial Auto</w:t>
            </w:r>
          </w:p>
        </w:tc>
        <w:tc>
          <w:tcPr>
            <w:tcW w:type="dxa" w:w="2880"/>
          </w:tcPr>
          <w:p>
            <w:r>
              <w:rPr>
                <w:sz w:val="17"/>
              </w:rPr>
              <w:t>Business Auto: $1,000,000 combined single limit (CSL) for bodily injury and property damage. Must include hired and non-owned auto coverage. For fleets &gt; 100 vehicles or any vehicle &gt; 26,001 lbs GVW: minimum $2,000,000 CSL. MCS-90 endorsement required for all motor carriers.</w:t>
            </w:r>
          </w:p>
        </w:tc>
      </w:tr>
      <w:tr>
        <w:tc>
          <w:tcPr>
            <w:tcW w:type="dxa" w:w="2880"/>
          </w:tcPr>
          <w:p>
            <w:r>
              <w:rPr>
                <w:sz w:val="17"/>
              </w:rPr>
              <w:t>EU-103</w:t>
            </w:r>
          </w:p>
        </w:tc>
        <w:tc>
          <w:tcPr>
            <w:tcW w:type="dxa" w:w="2880"/>
          </w:tcPr>
          <w:p>
            <w:r>
              <w:rPr>
                <w:sz w:val="17"/>
              </w:rPr>
              <w:t>Minimum Underlying Limits - Employers Liability</w:t>
            </w:r>
          </w:p>
        </w:tc>
        <w:tc>
          <w:tcPr>
            <w:tcW w:type="dxa" w:w="2880"/>
          </w:tcPr>
          <w:p>
            <w:r>
              <w:rPr>
                <w:sz w:val="17"/>
              </w:rPr>
              <w:t>Workers' Compensation Employers Liability: $1,000,000 each accident / $1,000,000 disease-policy limit / $1,000,000 disease-each employee. Stop-gap coverage required for employees in monopolistic states. USL&amp;H coverage required for applicable maritime exposures.</w:t>
            </w:r>
          </w:p>
        </w:tc>
      </w:tr>
      <w:tr>
        <w:tc>
          <w:tcPr>
            <w:tcW w:type="dxa" w:w="2880"/>
          </w:tcPr>
          <w:p>
            <w:r>
              <w:rPr>
                <w:sz w:val="17"/>
              </w:rPr>
              <w:t>EU-104</w:t>
            </w:r>
          </w:p>
        </w:tc>
        <w:tc>
          <w:tcPr>
            <w:tcW w:type="dxa" w:w="2880"/>
          </w:tcPr>
          <w:p>
            <w:r>
              <w:rPr>
                <w:sz w:val="17"/>
              </w:rPr>
              <w:t>Minimum Underlying Limits - Other Lines</w:t>
            </w:r>
          </w:p>
        </w:tc>
        <w:tc>
          <w:tcPr>
            <w:tcW w:type="dxa" w:w="2880"/>
          </w:tcPr>
          <w:p>
            <w:r>
              <w:rPr>
                <w:sz w:val="17"/>
              </w:rPr>
              <w:t>If scheduled as underlying: Professional Liability: $1,000,000 per claim / $2,000,000 aggregate. Liquor Liability: $1,000,000 per occurrence (if applicable). Employee Benefits Liability: $1,000,000 per occurrence. Watercraft Liability: $1,000,000 per occurrence (if applicable).</w:t>
            </w:r>
          </w:p>
        </w:tc>
      </w:tr>
      <w:tr>
        <w:tc>
          <w:tcPr>
            <w:tcW w:type="dxa" w:w="2880"/>
          </w:tcPr>
          <w:p>
            <w:r>
              <w:rPr>
                <w:sz w:val="17"/>
              </w:rPr>
              <w:t>EU-105</w:t>
            </w:r>
          </w:p>
        </w:tc>
        <w:tc>
          <w:tcPr>
            <w:tcW w:type="dxa" w:w="2880"/>
          </w:tcPr>
          <w:p>
            <w:r>
              <w:rPr>
                <w:sz w:val="17"/>
              </w:rPr>
              <w:t>Underlying Carrier Quality Standards</w:t>
            </w:r>
          </w:p>
        </w:tc>
        <w:tc>
          <w:tcPr>
            <w:tcW w:type="dxa" w:w="2880"/>
          </w:tcPr>
          <w:p>
            <w:r>
              <w:rPr>
                <w:sz w:val="17"/>
              </w:rPr>
              <w:t>All underlying carriers must maintain A.M. Best rating of A- (Excellent) VII or higher. If underlying carrier is downgraded below A- VII during the policy period, insured must replace the carrier within 90 days or AIG may issue coverage gap notice. Self-insured retentions &gt; $250,000: require actuarial certification of adequacy.</w:t>
            </w:r>
          </w:p>
        </w:tc>
      </w:tr>
      <w:tr>
        <w:tc>
          <w:tcPr>
            <w:tcW w:type="dxa" w:w="2880"/>
          </w:tcPr>
          <w:p>
            <w:r>
              <w:rPr>
                <w:sz w:val="17"/>
              </w:rPr>
              <w:t>EU-106</w:t>
            </w:r>
          </w:p>
        </w:tc>
        <w:tc>
          <w:tcPr>
            <w:tcW w:type="dxa" w:w="2880"/>
          </w:tcPr>
          <w:p>
            <w:r>
              <w:rPr>
                <w:sz w:val="17"/>
              </w:rPr>
              <w:t>Defense Cost Provisions</w:t>
            </w:r>
          </w:p>
        </w:tc>
        <w:tc>
          <w:tcPr>
            <w:tcW w:type="dxa" w:w="2880"/>
          </w:tcPr>
          <w:p>
            <w:r>
              <w:rPr>
                <w:sz w:val="17"/>
              </w:rPr>
              <w:t>AIG lead umbrella: Defense costs are outside the limit (supplementary payments). AIG excess follow-form: Defense costs follow the underlying treatment. If underlying provides defense within limits: AIG excess limit will erode proportionally and insured must be advised in writing. Duty to defend: AIG has no duty to defend in excess layers above $5M attachment.</w:t>
            </w:r>
          </w:p>
        </w:tc>
      </w:tr>
      <w:tr>
        <w:tc>
          <w:tcPr>
            <w:tcW w:type="dxa" w:w="2880"/>
          </w:tcPr>
          <w:p>
            <w:r>
              <w:rPr>
                <w:sz w:val="17"/>
              </w:rPr>
              <w:t>EU-107</w:t>
            </w:r>
          </w:p>
        </w:tc>
        <w:tc>
          <w:tcPr>
            <w:tcW w:type="dxa" w:w="2880"/>
          </w:tcPr>
          <w:p>
            <w:r>
              <w:rPr>
                <w:sz w:val="17"/>
              </w:rPr>
              <w:t>Underlying Coverage Verification</w:t>
            </w:r>
          </w:p>
        </w:tc>
        <w:tc>
          <w:tcPr>
            <w:tcW w:type="dxa" w:w="2880"/>
          </w:tcPr>
          <w:p>
            <w:r>
              <w:rPr>
                <w:sz w:val="17"/>
              </w:rPr>
              <w:t>Copies of all scheduled underlying policies or binders must be on file before binding. Evidence of insurance (certificates) are not acceptable substitutes for policy copies. Verify all underlying policies have concurrent inception/expiration dates. Any gap in underlying coverage &gt; 1 day: require written explanation and bridge coverage.</w:t>
            </w:r>
          </w:p>
        </w:tc>
      </w:tr>
    </w:tbl>
    <w:p/>
    <w:p>
      <w:pPr>
        <w:pStyle w:val="Heading1"/>
      </w:pPr>
      <w:r>
        <w:rPr>
          <w:color w:val="00205B"/>
        </w:rPr>
        <w:t>SECTION 2: ATTACHMENT POINTS</w:t>
      </w:r>
    </w:p>
    <w:p>
      <w:pPr>
        <w:spacing w:after="120"/>
      </w:pPr>
      <w:r>
        <w:rPr>
          <w:b w:val="0"/>
          <w:color w:val="334155"/>
          <w:sz w:val="20"/>
        </w:rPr>
        <w:t>Attachment point selection directly impacts loss frequency and severity for the excess layer. These guidelines establish minimum attachment requirements by risk class and program structure.</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EU-201</w:t>
            </w:r>
          </w:p>
        </w:tc>
        <w:tc>
          <w:tcPr>
            <w:tcW w:type="dxa" w:w="2880"/>
          </w:tcPr>
          <w:p>
            <w:r>
              <w:rPr>
                <w:sz w:val="17"/>
              </w:rPr>
              <w:t>Minimum Attachment by Industry</w:t>
            </w:r>
          </w:p>
        </w:tc>
        <w:tc>
          <w:tcPr>
            <w:tcW w:type="dxa" w:w="2880"/>
          </w:tcPr>
          <w:p>
            <w:r>
              <w:rPr>
                <w:sz w:val="17"/>
              </w:rPr>
              <w:t>Low hazard (office, retail, professional services): $1,000,000 minimum attachment. Moderate hazard (light manufacturing, warehouse, restaurants): $2,000,000 minimum attachment. High hazard (heavy construction, transportation, chemical manufacturing): $5,000,000 minimum attachment. Healthcare (hospitals, long-term care): $5,000,000 minimum attachment.</w:t>
            </w:r>
          </w:p>
        </w:tc>
      </w:tr>
      <w:tr>
        <w:tc>
          <w:tcPr>
            <w:tcW w:type="dxa" w:w="2880"/>
          </w:tcPr>
          <w:p>
            <w:r>
              <w:rPr>
                <w:sz w:val="17"/>
              </w:rPr>
              <w:t>EU-202</w:t>
            </w:r>
          </w:p>
        </w:tc>
        <w:tc>
          <w:tcPr>
            <w:tcW w:type="dxa" w:w="2880"/>
          </w:tcPr>
          <w:p>
            <w:r>
              <w:rPr>
                <w:sz w:val="17"/>
              </w:rPr>
              <w:t>Maximum Attachment for AIG Lead</w:t>
            </w:r>
          </w:p>
        </w:tc>
        <w:tc>
          <w:tcPr>
            <w:tcW w:type="dxa" w:w="2880"/>
          </w:tcPr>
          <w:p>
            <w:r>
              <w:rPr>
                <w:sz w:val="17"/>
              </w:rPr>
              <w:t>AIG will lead (provide first excess layer) only where attachment point does not exceed $25,000,000 for Fortune 500 accounts, $10,000,000 for middle market accounts, and $5,000,000 for small commercial accounts. Attachments above these thresholds: AIG participates as follow-form only.</w:t>
            </w:r>
          </w:p>
        </w:tc>
      </w:tr>
      <w:tr>
        <w:tc>
          <w:tcPr>
            <w:tcW w:type="dxa" w:w="2880"/>
          </w:tcPr>
          <w:p>
            <w:r>
              <w:rPr>
                <w:sz w:val="17"/>
              </w:rPr>
              <w:t>EU-203</w:t>
            </w:r>
          </w:p>
        </w:tc>
        <w:tc>
          <w:tcPr>
            <w:tcW w:type="dxa" w:w="2880"/>
          </w:tcPr>
          <w:p>
            <w:r>
              <w:rPr>
                <w:sz w:val="17"/>
              </w:rPr>
              <w:t>Follow-Form vs. Independent Coverage</w:t>
            </w:r>
          </w:p>
        </w:tc>
        <w:tc>
          <w:tcPr>
            <w:tcW w:type="dxa" w:w="2880"/>
          </w:tcPr>
          <w:p>
            <w:r>
              <w:rPr>
                <w:sz w:val="17"/>
              </w:rPr>
              <w:t>Follow-form (excess of underlying): Available when underlying is an approved form (ISO CGL, AIG Primary CGL, or equivalent). Coverage mirrors underlying with stated exceptions. Independent coverage (standalone umbrella form): Required when underlying includes non-standard exclusions or when AIG cannot verify underlying coverage adequacy. Independent form: AIG Umbrella Form UMB-2026 applies.</w:t>
            </w:r>
          </w:p>
        </w:tc>
      </w:tr>
      <w:tr>
        <w:tc>
          <w:tcPr>
            <w:tcW w:type="dxa" w:w="2880"/>
          </w:tcPr>
          <w:p>
            <w:r>
              <w:rPr>
                <w:sz w:val="17"/>
              </w:rPr>
              <w:t>EU-204</w:t>
            </w:r>
          </w:p>
        </w:tc>
        <w:tc>
          <w:tcPr>
            <w:tcW w:type="dxa" w:w="2880"/>
          </w:tcPr>
          <w:p>
            <w:r>
              <w:rPr>
                <w:sz w:val="17"/>
              </w:rPr>
              <w:t>Gap in Underlying Coverage</w:t>
            </w:r>
          </w:p>
        </w:tc>
        <w:tc>
          <w:tcPr>
            <w:tcW w:type="dxa" w:w="2880"/>
          </w:tcPr>
          <w:p>
            <w:r>
              <w:rPr>
                <w:sz w:val="17"/>
              </w:rPr>
              <w:t>If any scheduled underlying coverage has a coverage gap (exclusion not present in AIG umbrella form): AIG umbrella drops down to provide primary coverage for the gap subject to the underlying per-occurrence limit as a self-insured retention. Drop-down not available for: pollution, employment practices, professional liability, or cyber exposures unless specifically endorsed.</w:t>
            </w:r>
          </w:p>
        </w:tc>
      </w:tr>
    </w:tbl>
    <w:p/>
    <w:p>
      <w:r>
        <w:br w:type="page"/>
      </w:r>
    </w:p>
    <w:p>
      <w:pPr>
        <w:pStyle w:val="Heading1"/>
      </w:pPr>
      <w:r>
        <w:rPr>
          <w:color w:val="00205B"/>
        </w:rPr>
        <w:t>SECTION 3: EXCLUDED RISKS</w:t>
      </w:r>
    </w:p>
    <w:p>
      <w:pPr>
        <w:spacing w:after="120"/>
      </w:pPr>
      <w:r>
        <w:rPr>
          <w:b w:val="0"/>
          <w:color w:val="334155"/>
          <w:sz w:val="20"/>
        </w:rPr>
        <w:t>Certain risks are excluded from AIG excess/umbrella coverage either absolutely (no exceptions) or conditionally (available with restrictions). Underwriters must verify the applicability of each exclusion to every submission.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EU-301</w:t>
            </w:r>
          </w:p>
        </w:tc>
        <w:tc>
          <w:tcPr>
            <w:tcW w:type="dxa" w:w="2880"/>
          </w:tcPr>
          <w:p>
            <w:r>
              <w:rPr>
                <w:sz w:val="17"/>
              </w:rPr>
              <w:t>Absolute Exclusions</w:t>
            </w:r>
          </w:p>
        </w:tc>
        <w:tc>
          <w:tcPr>
            <w:tcW w:type="dxa" w:w="2880"/>
          </w:tcPr>
          <w:p>
            <w:r>
              <w:rPr>
                <w:sz w:val="17"/>
              </w:rPr>
              <w:t>The following are excluded under all circumstances, no exceptions or buybacks available: PFAS / PFOS / PFOA (per- and polyfluoroalkyl substances) contamination. Cannabis / marijuana operations (cultivation, processing, distribution, dispensary). Nuclear energy liability (refer to AIG Nuclear pool). War, invasion, armed conflict, or military action. Government-imposed sanctions (OFAC compliance). Asbestos (known exposure at inception). Silica and silica-related disease. Lead paint in residential structures built before 1978.</w:t>
            </w:r>
          </w:p>
        </w:tc>
      </w:tr>
      <w:tr>
        <w:tc>
          <w:tcPr>
            <w:tcW w:type="dxa" w:w="2880"/>
          </w:tcPr>
          <w:p>
            <w:r>
              <w:rPr>
                <w:sz w:val="17"/>
              </w:rPr>
              <w:t>EU-302</w:t>
            </w:r>
          </w:p>
        </w:tc>
        <w:tc>
          <w:tcPr>
            <w:tcW w:type="dxa" w:w="2880"/>
          </w:tcPr>
          <w:p>
            <w:r>
              <w:rPr>
                <w:sz w:val="17"/>
              </w:rPr>
              <w:t>Conditional Exclusions - With Sublimit</w:t>
            </w:r>
          </w:p>
        </w:tc>
        <w:tc>
          <w:tcPr>
            <w:tcW w:type="dxa" w:w="2880"/>
          </w:tcPr>
          <w:p>
            <w:r>
              <w:rPr>
                <w:sz w:val="17"/>
              </w:rPr>
              <w:t>The following may be covered with specific sublimits and additional premium: AI / Autonomous Systems Liability: Maximum $2,000,000 sublimit within the layer, requires AI risk questionnaire and technology review. Unmanned Aircraft Systems (Drones): Maximum $1,000,000 sublimit, requires FAA Part 107 compliance. Cyber Liability (bodily injury/property damage only): Maximum $1,000,000 sublimit.</w:t>
            </w:r>
          </w:p>
        </w:tc>
      </w:tr>
      <w:tr>
        <w:tc>
          <w:tcPr>
            <w:tcW w:type="dxa" w:w="2880"/>
          </w:tcPr>
          <w:p>
            <w:r>
              <w:rPr>
                <w:sz w:val="17"/>
              </w:rPr>
              <w:t>EU-303</w:t>
            </w:r>
          </w:p>
        </w:tc>
        <w:tc>
          <w:tcPr>
            <w:tcW w:type="dxa" w:w="2880"/>
          </w:tcPr>
          <w:p>
            <w:r>
              <w:rPr>
                <w:sz w:val="17"/>
              </w:rPr>
              <w:t>Employment Practices Gap Treatment</w:t>
            </w:r>
          </w:p>
        </w:tc>
        <w:tc>
          <w:tcPr>
            <w:tcW w:type="dxa" w:w="2880"/>
          </w:tcPr>
          <w:p>
            <w:r>
              <w:rPr>
                <w:sz w:val="17"/>
              </w:rPr>
              <w:t>Employment practices liability (EPL) is excluded under the standard umbrella form. If underlying EPL coverage exists with limits less than umbrella attachment: gap is NOT covered by umbrella unless EPL Buyback endorsement is issued. EPL Buyback endorsement: available for additional premium, maximum $5,000,000 sublimit, requires dedicated EPL underlying policy with minimum $1M limits.</w:t>
            </w:r>
          </w:p>
        </w:tc>
      </w:tr>
      <w:tr>
        <w:tc>
          <w:tcPr>
            <w:tcW w:type="dxa" w:w="2880"/>
          </w:tcPr>
          <w:p>
            <w:r>
              <w:rPr>
                <w:sz w:val="17"/>
              </w:rPr>
              <w:t>EU-304</w:t>
            </w:r>
          </w:p>
        </w:tc>
        <w:tc>
          <w:tcPr>
            <w:tcW w:type="dxa" w:w="2880"/>
          </w:tcPr>
          <w:p>
            <w:r>
              <w:rPr>
                <w:sz w:val="17"/>
              </w:rPr>
              <w:t>Professional Liability Treatment</w:t>
            </w:r>
          </w:p>
        </w:tc>
        <w:tc>
          <w:tcPr>
            <w:tcW w:type="dxa" w:w="2880"/>
          </w:tcPr>
          <w:p>
            <w:r>
              <w:rPr>
                <w:sz w:val="17"/>
              </w:rPr>
              <w:t>Professional liability / errors &amp; omissions is excluded under standard umbrella form. Excess professional liability: available as separate placement on AIG XPL form. Miscellaneous professional liability buyback: available for non-professional service businesses with incidental professional exposure (maximum $2,000,000 sublimit).</w:t>
            </w:r>
          </w:p>
        </w:tc>
      </w:tr>
      <w:tr>
        <w:tc>
          <w:tcPr>
            <w:tcW w:type="dxa" w:w="2880"/>
          </w:tcPr>
          <w:p>
            <w:r>
              <w:rPr>
                <w:sz w:val="17"/>
              </w:rPr>
              <w:t>EU-305</w:t>
            </w:r>
          </w:p>
        </w:tc>
        <w:tc>
          <w:tcPr>
            <w:tcW w:type="dxa" w:w="2880"/>
          </w:tcPr>
          <w:p>
            <w:r>
              <w:rPr>
                <w:sz w:val="17"/>
              </w:rPr>
              <w:t>Pollution Exclusion</w:t>
            </w:r>
          </w:p>
        </w:tc>
        <w:tc>
          <w:tcPr>
            <w:tcW w:type="dxa" w:w="2880"/>
          </w:tcPr>
          <w:p>
            <w:r>
              <w:rPr>
                <w:sz w:val="17"/>
              </w:rPr>
              <w:t>Total pollution exclusion applies to all excess/umbrella policies. Hostile fire exception: pollution resulting from a fire that is hostile (unintended) is covered to the extent the fire itself would be covered. Sudden and accidental pollution buyback: not available on excess/umbrella layers. Separate environmental liability placement required for any pollution exposure.</w:t>
            </w:r>
          </w:p>
        </w:tc>
      </w:tr>
    </w:tbl>
    <w:p/>
    <w:p>
      <w:pPr>
        <w:pStyle w:val="Heading1"/>
      </w:pPr>
      <w:r>
        <w:rPr>
          <w:color w:val="00205B"/>
        </w:rPr>
        <w:t>SECTION 4: TOWER STRUCTURE</w:t>
      </w:r>
    </w:p>
    <w:p>
      <w:pPr>
        <w:spacing w:after="120"/>
      </w:pPr>
      <w:r>
        <w:rPr>
          <w:b w:val="0"/>
          <w:color w:val="334155"/>
          <w:sz w:val="20"/>
        </w:rPr>
        <w:t>AIG manages its exposure across multi-layer excess programs through participation limits, co-insurance requirements, and drop-down provisions. These rules ensure balanced tower construction.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EU-401</w:t>
            </w:r>
          </w:p>
        </w:tc>
        <w:tc>
          <w:tcPr>
            <w:tcW w:type="dxa" w:w="2880"/>
          </w:tcPr>
          <w:p>
            <w:r>
              <w:rPr>
                <w:sz w:val="17"/>
              </w:rPr>
              <w:t>Maximum Participation per Layer</w:t>
            </w:r>
          </w:p>
        </w:tc>
        <w:tc>
          <w:tcPr>
            <w:tcW w:type="dxa" w:w="2880"/>
          </w:tcPr>
          <w:p>
            <w:r>
              <w:rPr>
                <w:sz w:val="17"/>
              </w:rPr>
              <w:t>Lead umbrella ($1M x $1M): AIG maximum 100% participation. First excess ($5M x $1M to $5M x $5M): AIG maximum 100% participation. Second excess ($10M x $10M): AIG maximum 50% participation, require co-carrier(s). Higher excess layers (&gt; $25M attachment): AIG maximum 25% participation. Total AIG participation across all layers: Maximum $50M for any single insured.</w:t>
            </w:r>
          </w:p>
        </w:tc>
      </w:tr>
      <w:tr>
        <w:tc>
          <w:tcPr>
            <w:tcW w:type="dxa" w:w="2880"/>
          </w:tcPr>
          <w:p>
            <w:r>
              <w:rPr>
                <w:sz w:val="17"/>
              </w:rPr>
              <w:t>EU-402</w:t>
            </w:r>
          </w:p>
        </w:tc>
        <w:tc>
          <w:tcPr>
            <w:tcW w:type="dxa" w:w="2880"/>
          </w:tcPr>
          <w:p>
            <w:r>
              <w:rPr>
                <w:sz w:val="17"/>
              </w:rPr>
              <w:t>Co-Insurance Requirements</w:t>
            </w:r>
          </w:p>
        </w:tc>
        <w:tc>
          <w:tcPr>
            <w:tcW w:type="dxa" w:w="2880"/>
          </w:tcPr>
          <w:p>
            <w:r>
              <w:rPr>
                <w:sz w:val="17"/>
              </w:rPr>
              <w:t>For any layer where AIG participates &lt; 100%: require minimum 2 co-carriers. All co-carriers must maintain A.M. Best rating A- VII or higher. Lead carrier on any layer must take minimum 25% participation. No carrier may participate on a layer for less than 10% share.</w:t>
            </w:r>
          </w:p>
        </w:tc>
      </w:tr>
      <w:tr>
        <w:tc>
          <w:tcPr>
            <w:tcW w:type="dxa" w:w="2880"/>
          </w:tcPr>
          <w:p>
            <w:r>
              <w:rPr>
                <w:sz w:val="17"/>
              </w:rPr>
              <w:t>EU-403</w:t>
            </w:r>
          </w:p>
        </w:tc>
        <w:tc>
          <w:tcPr>
            <w:tcW w:type="dxa" w:w="2880"/>
          </w:tcPr>
          <w:p>
            <w:r>
              <w:rPr>
                <w:sz w:val="17"/>
              </w:rPr>
              <w:t>Drop-Down Provisions</w:t>
            </w:r>
          </w:p>
        </w:tc>
        <w:tc>
          <w:tcPr>
            <w:tcW w:type="dxa" w:w="2880"/>
          </w:tcPr>
          <w:p>
            <w:r>
              <w:rPr>
                <w:sz w:val="17"/>
              </w:rPr>
              <w:t>AIG excess layers will drop down in the event of: exhaustion of underlying aggregate (upon proof of payment by underlying carrier), insolvency of an underlying carrier (subject to AIG's right to rescind within 60 days of insolvency notice), or a coverage gap where AIG form is broader than underlying. Drop-down does not apply to: intentional acts, criminal conduct, or punitive damages.</w:t>
            </w:r>
          </w:p>
        </w:tc>
      </w:tr>
      <w:tr>
        <w:tc>
          <w:tcPr>
            <w:tcW w:type="dxa" w:w="2880"/>
          </w:tcPr>
          <w:p>
            <w:r>
              <w:rPr>
                <w:sz w:val="17"/>
              </w:rPr>
              <w:t>EU-404</w:t>
            </w:r>
          </w:p>
        </w:tc>
        <w:tc>
          <w:tcPr>
            <w:tcW w:type="dxa" w:w="2880"/>
          </w:tcPr>
          <w:p>
            <w:r>
              <w:rPr>
                <w:sz w:val="17"/>
              </w:rPr>
              <w:t>Punitive Damage Territory Restrictions</w:t>
            </w:r>
          </w:p>
        </w:tc>
        <w:tc>
          <w:tcPr>
            <w:tcW w:type="dxa" w:w="2880"/>
          </w:tcPr>
          <w:p>
            <w:r>
              <w:rPr>
                <w:sz w:val="17"/>
              </w:rPr>
              <w:t>Punitive damages are EXCLUDED in the following states where they are deemed uninsurable as against public policy: Colorado, Connecticut, Illinois, Indiana, Kansas, Louisiana, Michigan, Minnesota, Nebraska, New York, Oregon, Pennsylvania, Utah, and Virginia. Punitive damages covered where insurable by law. Most favorable jurisdiction clause: NOT available on AIG excess forms.</w:t>
            </w:r>
          </w:p>
        </w:tc>
      </w:tr>
      <w:tr>
        <w:tc>
          <w:tcPr>
            <w:tcW w:type="dxa" w:w="2880"/>
          </w:tcPr>
          <w:p>
            <w:r>
              <w:rPr>
                <w:sz w:val="17"/>
              </w:rPr>
              <w:t>EU-405</w:t>
            </w:r>
          </w:p>
        </w:tc>
        <w:tc>
          <w:tcPr>
            <w:tcW w:type="dxa" w:w="2880"/>
          </w:tcPr>
          <w:p>
            <w:r>
              <w:rPr>
                <w:sz w:val="17"/>
              </w:rPr>
              <w:t>Erosion and Reinstatement</w:t>
            </w:r>
          </w:p>
        </w:tc>
        <w:tc>
          <w:tcPr>
            <w:tcW w:type="dxa" w:w="2880"/>
          </w:tcPr>
          <w:p>
            <w:r>
              <w:rPr>
                <w:sz w:val="17"/>
              </w:rPr>
              <w:t>General aggregate: 2x per occurrence limit standard. Products-completed operations aggregate: 2x per occurrence limit standard. No automatic reinstatement of aggregate after exhaustion. Reinstatement available by endorsement at 100% additional premium pro-rata for remaining term. Maximum one reinstatement per policy period.</w:t>
            </w:r>
          </w:p>
        </w:tc>
      </w:tr>
    </w:tbl>
    <w:p/>
    <w:p>
      <w:r>
        <w:br w:type="page"/>
      </w:r>
    </w:p>
    <w:p>
      <w:pPr>
        <w:pStyle w:val="Heading1"/>
      </w:pPr>
      <w:r>
        <w:rPr>
          <w:color w:val="00205B"/>
        </w:rPr>
        <w:t>SECTION 5: LOSS HISTORY</w:t>
      </w:r>
    </w:p>
    <w:p>
      <w:pPr>
        <w:spacing w:after="120"/>
      </w:pPr>
      <w:r>
        <w:rPr>
          <w:b w:val="0"/>
          <w:color w:val="334155"/>
          <w:sz w:val="20"/>
        </w:rPr>
        <w:t>Loss history analysis for excess/umbrella risks focuses on severity, defense cost trends, and the potential for claims to penetrate the proposed excess layer.</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EU-501</w:t>
            </w:r>
          </w:p>
        </w:tc>
        <w:tc>
          <w:tcPr>
            <w:tcW w:type="dxa" w:w="2880"/>
          </w:tcPr>
          <w:p>
            <w:r>
              <w:rPr>
                <w:sz w:val="17"/>
              </w:rPr>
              <w:t>Maximum Acceptable Loss Ratio</w:t>
            </w:r>
          </w:p>
        </w:tc>
        <w:tc>
          <w:tcPr>
            <w:tcW w:type="dxa" w:w="2880"/>
          </w:tcPr>
          <w:p>
            <w:r>
              <w:rPr>
                <w:sz w:val="17"/>
              </w:rPr>
              <w:t>Maximum 5-year excess loss ratio (losses penetrating proposed layer / premium): 35%. Decline if excess loss ratio &gt; 50% in any single year of the last 5 years. For lead umbrella: maximum total loss ratio (ground-up) of 60% over 5 years. Loss ratio calculation must include ALAE as reported.</w:t>
            </w:r>
          </w:p>
        </w:tc>
      </w:tr>
      <w:tr>
        <w:tc>
          <w:tcPr>
            <w:tcW w:type="dxa" w:w="2880"/>
          </w:tcPr>
          <w:p>
            <w:r>
              <w:rPr>
                <w:sz w:val="17"/>
              </w:rPr>
              <w:t>EU-502</w:t>
            </w:r>
          </w:p>
        </w:tc>
        <w:tc>
          <w:tcPr>
            <w:tcW w:type="dxa" w:w="2880"/>
          </w:tcPr>
          <w:p>
            <w:r>
              <w:rPr>
                <w:sz w:val="17"/>
              </w:rPr>
              <w:t>Large Loss Review Triggers</w:t>
            </w:r>
          </w:p>
        </w:tc>
        <w:tc>
          <w:tcPr>
            <w:tcW w:type="dxa" w:w="2880"/>
          </w:tcPr>
          <w:p>
            <w:r>
              <w:rPr>
                <w:sz w:val="17"/>
              </w:rPr>
              <w:t>Mandatory review by Excess Casualty VP for any of the following: Single occurrence loss &gt; $1,000,000 ground-up. Single occurrence loss that has penetrated or is projected to penetrate any excess layer. Defense costs on a single claim exceeding $500,000. Any claim involving fatality or permanent total disability.</w:t>
            </w:r>
          </w:p>
        </w:tc>
      </w:tr>
      <w:tr>
        <w:tc>
          <w:tcPr>
            <w:tcW w:type="dxa" w:w="2880"/>
          </w:tcPr>
          <w:p>
            <w:r>
              <w:rPr>
                <w:sz w:val="17"/>
              </w:rPr>
              <w:t>EU-503</w:t>
            </w:r>
          </w:p>
        </w:tc>
        <w:tc>
          <w:tcPr>
            <w:tcW w:type="dxa" w:w="2880"/>
          </w:tcPr>
          <w:p>
            <w:r>
              <w:rPr>
                <w:sz w:val="17"/>
              </w:rPr>
              <w:t>Defense Cost Analysis</w:t>
            </w:r>
          </w:p>
        </w:tc>
        <w:tc>
          <w:tcPr>
            <w:tcW w:type="dxa" w:w="2880"/>
          </w:tcPr>
          <w:p>
            <w:r>
              <w:rPr>
                <w:sz w:val="17"/>
              </w:rPr>
              <w:t>Evaluate defense costs as a percentage of total incurred: maximum acceptable ratio of defense costs to indemnity is 40% for general liability, 50% for auto liability, and 60% for products liability. Excessive defense cost ratios indicate inefficient claim handling and trigger recommendation to require panel counsel approval.</w:t>
            </w:r>
          </w:p>
        </w:tc>
      </w:tr>
      <w:tr>
        <w:tc>
          <w:tcPr>
            <w:tcW w:type="dxa" w:w="2880"/>
          </w:tcPr>
          <w:p>
            <w:r>
              <w:rPr>
                <w:sz w:val="17"/>
              </w:rPr>
              <w:t>EU-504</w:t>
            </w:r>
          </w:p>
        </w:tc>
        <w:tc>
          <w:tcPr>
            <w:tcW w:type="dxa" w:w="2880"/>
          </w:tcPr>
          <w:p>
            <w:r>
              <w:rPr>
                <w:sz w:val="17"/>
              </w:rPr>
              <w:t>Loss Projection Requirements</w:t>
            </w:r>
          </w:p>
        </w:tc>
        <w:tc>
          <w:tcPr>
            <w:tcW w:type="dxa" w:w="2880"/>
          </w:tcPr>
          <w:p>
            <w:r>
              <w:rPr>
                <w:sz w:val="17"/>
              </w:rPr>
              <w:t>For all accounts with &gt; $1M premium: require actuarial loss projection from approved actuarial firm. Projection must include: expected ultimate losses at proposed attachment, frequency and severity distributions, and probability of layer attachment within the policy period. Minimum confidence level for pricing: 80th percentile of projected loss distribution.</w:t>
            </w:r>
          </w:p>
        </w:tc>
      </w:tr>
    </w:tbl>
    <w:p/>
    <w:p>
      <w:pPr>
        <w:pStyle w:val="Heading1"/>
      </w:pPr>
      <w:r>
        <w:rPr>
          <w:color w:val="00205B"/>
        </w:rPr>
        <w:t>SECTION 6: INTERNATIONAL</w:t>
      </w:r>
    </w:p>
    <w:p>
      <w:pPr>
        <w:spacing w:after="120"/>
      </w:pPr>
      <w:r>
        <w:rPr>
          <w:b w:val="0"/>
          <w:color w:val="334155"/>
          <w:sz w:val="20"/>
        </w:rPr>
        <w:t>AIG excess/umbrella policies may provide worldwide coverage territory subject to the restrictions and requirements in this section.</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shd w:fill="00205B"/>
          </w:tcPr>
          <w:p>
            <w:pPr>
              <w:jc w:val="center"/>
            </w:pPr>
            <w:r>
              <w:rPr>
                <w:b/>
                <w:color w:val="FFFFFF"/>
                <w:sz w:val="18"/>
              </w:rPr>
              <w:t>Rule ID</w:t>
            </w:r>
          </w:p>
        </w:tc>
        <w:tc>
          <w:tcPr>
            <w:tcW w:type="dxa" w:w="2880"/>
            <w:shd w:fill="00205B"/>
          </w:tcPr>
          <w:p>
            <w:pPr>
              <w:jc w:val="center"/>
            </w:pPr>
            <w:r>
              <w:rPr>
                <w:b/>
                <w:color w:val="FFFFFF"/>
                <w:sz w:val="18"/>
              </w:rPr>
              <w:t>Requirement</w:t>
            </w:r>
          </w:p>
        </w:tc>
        <w:tc>
          <w:tcPr>
            <w:tcW w:type="dxa" w:w="2880"/>
            <w:shd w:fill="00205B"/>
          </w:tcPr>
          <w:p>
            <w:pPr>
              <w:jc w:val="center"/>
            </w:pPr>
            <w:r>
              <w:rPr>
                <w:b/>
                <w:color w:val="FFFFFF"/>
                <w:sz w:val="18"/>
              </w:rPr>
              <w:t>Threshold / Standard</w:t>
            </w:r>
          </w:p>
        </w:tc>
      </w:tr>
      <w:tr>
        <w:tc>
          <w:tcPr>
            <w:tcW w:type="dxa" w:w="2880"/>
          </w:tcPr>
          <w:p>
            <w:r>
              <w:rPr>
                <w:sz w:val="17"/>
              </w:rPr>
              <w:t>EU-601</w:t>
            </w:r>
          </w:p>
        </w:tc>
        <w:tc>
          <w:tcPr>
            <w:tcW w:type="dxa" w:w="2880"/>
          </w:tcPr>
          <w:p>
            <w:r>
              <w:rPr>
                <w:sz w:val="17"/>
              </w:rPr>
              <w:t>Coverage Territory Restrictions</w:t>
            </w:r>
          </w:p>
        </w:tc>
        <w:tc>
          <w:tcPr>
            <w:tcW w:type="dxa" w:w="2880"/>
          </w:tcPr>
          <w:p>
            <w:r>
              <w:rPr>
                <w:sz w:val="17"/>
              </w:rPr>
              <w:t>Standard coverage territory: Worldwide, but suits must be brought in the United States, its territories, possessions, or Canada. International suits covered only via Worldwide Coverage endorsement (additional premium required). EU/EEA jurisdiction claims: covered with Worldwide endorsement. All other jurisdictions: require specific country-by-country approval.</w:t>
            </w:r>
          </w:p>
        </w:tc>
      </w:tr>
      <w:tr>
        <w:tc>
          <w:tcPr>
            <w:tcW w:type="dxa" w:w="2880"/>
          </w:tcPr>
          <w:p>
            <w:r>
              <w:rPr>
                <w:sz w:val="17"/>
              </w:rPr>
              <w:t>EU-602</w:t>
            </w:r>
          </w:p>
        </w:tc>
        <w:tc>
          <w:tcPr>
            <w:tcW w:type="dxa" w:w="2880"/>
          </w:tcPr>
          <w:p>
            <w:r>
              <w:rPr>
                <w:sz w:val="17"/>
              </w:rPr>
              <w:t>Sanctioned Countries</w:t>
            </w:r>
          </w:p>
        </w:tc>
        <w:tc>
          <w:tcPr>
            <w:tcW w:type="dxa" w:w="2880"/>
          </w:tcPr>
          <w:p>
            <w:r>
              <w:rPr>
                <w:sz w:val="17"/>
              </w:rPr>
              <w:t>No coverage available for operations, activities, or claims arising in or from: Cuba, Iran, North Korea, Syria, and the Crimea/Donetsk/Luhansk regions of Ukraine. Additional countries per current OFAC Sanctions Programs list. Underwriters must check OFAC SDN list before binding any account with international operations. Automatic exclusion endorsement applies.</w:t>
            </w:r>
          </w:p>
        </w:tc>
      </w:tr>
      <w:tr>
        <w:tc>
          <w:tcPr>
            <w:tcW w:type="dxa" w:w="2880"/>
          </w:tcPr>
          <w:p>
            <w:r>
              <w:rPr>
                <w:sz w:val="17"/>
              </w:rPr>
              <w:t>EU-603</w:t>
            </w:r>
          </w:p>
        </w:tc>
        <w:tc>
          <w:tcPr>
            <w:tcW w:type="dxa" w:w="2880"/>
          </w:tcPr>
          <w:p>
            <w:r>
              <w:rPr>
                <w:sz w:val="17"/>
              </w:rPr>
              <w:t>Difference in Conditions / Difference in Limits (DIC/DIL)</w:t>
            </w:r>
          </w:p>
        </w:tc>
        <w:tc>
          <w:tcPr>
            <w:tcW w:type="dxa" w:w="2880"/>
          </w:tcPr>
          <w:p>
            <w:r>
              <w:rPr>
                <w:sz w:val="17"/>
              </w:rPr>
              <w:t>For insureds with operations in admitted-paper jurisdictions: AIG master policy provides DIC/DIL coverage to fill gaps between local admitted policies and the master program. DIC: covers perils included in master but excluded from local policy. DIL: provides excess limits above local policy limits up to master policy limit. DIC/DIL is not available where prohibited by local law or regulation.</w:t>
            </w:r>
          </w:p>
        </w:tc>
      </w:tr>
      <w:tr>
        <w:tc>
          <w:tcPr>
            <w:tcW w:type="dxa" w:w="2880"/>
          </w:tcPr>
          <w:p>
            <w:r>
              <w:rPr>
                <w:sz w:val="17"/>
              </w:rPr>
              <w:t>EU-604</w:t>
            </w:r>
          </w:p>
        </w:tc>
        <w:tc>
          <w:tcPr>
            <w:tcW w:type="dxa" w:w="2880"/>
          </w:tcPr>
          <w:p>
            <w:r>
              <w:rPr>
                <w:sz w:val="17"/>
              </w:rPr>
              <w:t>Local Admitted Paper Requirements</w:t>
            </w:r>
          </w:p>
        </w:tc>
        <w:tc>
          <w:tcPr>
            <w:tcW w:type="dxa" w:w="2880"/>
          </w:tcPr>
          <w:p>
            <w:r>
              <w:rPr>
                <w:sz w:val="17"/>
              </w:rPr>
              <w:t>Insureds with permanent operations, employees, or assets in foreign jurisdictions must maintain local admitted liability policies where required by law. AIG Global Network: coordinate through AIG Multinational team for local policy issuance. Countries requiring admitted paper: all EU member states, Brazil, Mexico, China, India, Japan, Australia, and any country where non-admitted insurance is prohibited. Penalty for non-compliance is on the insured; AIG will not indemnify regulatory fines.</w:t>
            </w:r>
          </w:p>
        </w:tc>
      </w:tr>
      <w:tr>
        <w:tc>
          <w:tcPr>
            <w:tcW w:type="dxa" w:w="2880"/>
          </w:tcPr>
          <w:p>
            <w:r>
              <w:rPr>
                <w:sz w:val="17"/>
              </w:rPr>
              <w:t>EU-605</w:t>
            </w:r>
          </w:p>
        </w:tc>
        <w:tc>
          <w:tcPr>
            <w:tcW w:type="dxa" w:w="2880"/>
          </w:tcPr>
          <w:p>
            <w:r>
              <w:rPr>
                <w:sz w:val="17"/>
              </w:rPr>
              <w:t>Foreign Jurisdiction Claims Handling</w:t>
            </w:r>
          </w:p>
        </w:tc>
        <w:tc>
          <w:tcPr>
            <w:tcW w:type="dxa" w:w="2880"/>
          </w:tcPr>
          <w:p>
            <w:r>
              <w:rPr>
                <w:sz w:val="17"/>
              </w:rPr>
              <w:t>Claims arising in foreign jurisdictions must be reported to AIG International Claims within 15 days of insured's knowledge. Local counsel must be engaged within 30 days. AIG retains right to appoint and direct defense counsel in all jurisdictions. Settlement authority follows the master policy terms regardless of local jurisdiction.</w:t>
            </w:r>
          </w:p>
        </w:tc>
      </w:tr>
    </w:tbl>
    <w:p/>
    <w:p/>
    <w:p>
      <w:r>
        <w:rPr>
          <w:i/>
          <w:color w:val="64748B"/>
          <w:sz w:val="16"/>
        </w:rPr>
        <w:t>AIG Excess / Umbrella Liability Underwriting Guidelines v5.1 | Effective 01/01/2026 | Supersedes all prior versions. These guidelines are proprietary and confidential. Distribution outside AIG is strictly prohibited.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