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205B"/>
        </w:rPr>
        <w:t>Commercial Property Underwriting Guidelines</w:t>
      </w:r>
    </w:p>
    <w:p>
      <w:r>
        <w:rPr>
          <w:color w:val="64748B"/>
          <w:sz w:val="20"/>
        </w:rPr>
        <w:t>AIG North America  |  Effective: January 1, 2026  |  Version 4.2</w:t>
        <w:br/>
        <w:t>Classification: INTERNAL USE ONLY  |  Approved by: Chief Underwriting Officer</w:t>
      </w:r>
    </w:p>
    <w:p/>
    <w:p>
      <w:pPr>
        <w:spacing w:after="120"/>
      </w:pPr>
      <w:r>
        <w:rPr>
          <w:b/>
          <w:color w:val="334155"/>
          <w:sz w:val="20"/>
        </w:rPr>
        <w:t>These guidelines establish the minimum underwriting standards for all commercial property risks written on AIG paper. All underwriters must comply with these rules when evaluating new business and renewal submissions. Deviations require written approval from the Regional Underwriting Manager or above.</w:t>
      </w:r>
    </w:p>
    <w:p>
      <w:r>
        <w:br w:type="page"/>
      </w:r>
    </w:p>
    <w:p>
      <w:pPr>
        <w:pStyle w:val="Heading1"/>
      </w:pPr>
      <w:r>
        <w:rPr>
          <w:color w:val="00205B"/>
        </w:rPr>
        <w:t>SECTION 1: RISK ACCEPTABILITY CRITERIA</w:t>
      </w:r>
    </w:p>
    <w:p>
      <w:pPr>
        <w:spacing w:after="120"/>
      </w:pPr>
      <w:r>
        <w:rPr>
          <w:b w:val="0"/>
          <w:color w:val="334155"/>
          <w:sz w:val="20"/>
        </w:rPr>
        <w:t>This section defines the construction types, occupancy classes, and risk characteristics that fall within AIG appetite. Submissions outside these parameters must be declined or referred to the Risk Acceptability Committee.</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fill="00205B"/>
          </w:tcPr>
          <w:p>
            <w:pPr>
              <w:jc w:val="center"/>
            </w:pPr>
            <w:r>
              <w:rPr>
                <w:b/>
                <w:color w:val="FFFFFF"/>
                <w:sz w:val="18"/>
              </w:rPr>
              <w:t>Rule ID</w:t>
            </w:r>
          </w:p>
        </w:tc>
        <w:tc>
          <w:tcPr>
            <w:tcW w:type="dxa" w:w="2880"/>
            <w:shd w:fill="00205B"/>
          </w:tcPr>
          <w:p>
            <w:pPr>
              <w:jc w:val="center"/>
            </w:pPr>
            <w:r>
              <w:rPr>
                <w:b/>
                <w:color w:val="FFFFFF"/>
                <w:sz w:val="18"/>
              </w:rPr>
              <w:t>Requirement</w:t>
            </w:r>
          </w:p>
        </w:tc>
        <w:tc>
          <w:tcPr>
            <w:tcW w:type="dxa" w:w="2880"/>
            <w:shd w:fill="00205B"/>
          </w:tcPr>
          <w:p>
            <w:pPr>
              <w:jc w:val="center"/>
            </w:pPr>
            <w:r>
              <w:rPr>
                <w:b/>
                <w:color w:val="FFFFFF"/>
                <w:sz w:val="18"/>
              </w:rPr>
              <w:t>Threshold / Standard</w:t>
            </w:r>
          </w:p>
        </w:tc>
      </w:tr>
      <w:tr>
        <w:tc>
          <w:tcPr>
            <w:tcW w:type="dxa" w:w="2880"/>
          </w:tcPr>
          <w:p>
            <w:r>
              <w:rPr>
                <w:sz w:val="17"/>
              </w:rPr>
              <w:t>P-101</w:t>
            </w:r>
          </w:p>
        </w:tc>
        <w:tc>
          <w:tcPr>
            <w:tcW w:type="dxa" w:w="2880"/>
          </w:tcPr>
          <w:p>
            <w:r>
              <w:rPr>
                <w:sz w:val="17"/>
              </w:rPr>
              <w:t>Acceptable Construction Types</w:t>
            </w:r>
          </w:p>
        </w:tc>
        <w:tc>
          <w:tcPr>
            <w:tcW w:type="dxa" w:w="2880"/>
          </w:tcPr>
          <w:p>
            <w:r>
              <w:rPr>
                <w:sz w:val="17"/>
              </w:rPr>
              <w:t>ISO Construction Classes 1-6 (Fire Resistive, Modified Fire Resistive, Masonry Non-Combustible, Non-Combustible, Joisted Masonry, Frame). Frame construction (Class 1) limited to TIV &lt; $5,000,000.</w:t>
            </w:r>
          </w:p>
        </w:tc>
      </w:tr>
      <w:tr>
        <w:tc>
          <w:tcPr>
            <w:tcW w:type="dxa" w:w="2880"/>
          </w:tcPr>
          <w:p>
            <w:r>
              <w:rPr>
                <w:sz w:val="17"/>
              </w:rPr>
              <w:t>P-102</w:t>
            </w:r>
          </w:p>
        </w:tc>
        <w:tc>
          <w:tcPr>
            <w:tcW w:type="dxa" w:w="2880"/>
          </w:tcPr>
          <w:p>
            <w:r>
              <w:rPr>
                <w:sz w:val="17"/>
              </w:rPr>
              <w:t>Minimum ISO Class Requirement</w:t>
            </w:r>
          </w:p>
        </w:tc>
        <w:tc>
          <w:tcPr>
            <w:tcW w:type="dxa" w:w="2880"/>
          </w:tcPr>
          <w:p>
            <w:r>
              <w:rPr>
                <w:sz w:val="17"/>
              </w:rPr>
              <w:t>ISO Class 4 (Non-Combustible) or higher for any risk with TIV &gt; $25,000,000. Class 3 (Masonry Non-Combustible) or higher for TIV &gt; $50,000,000.</w:t>
            </w:r>
          </w:p>
        </w:tc>
      </w:tr>
      <w:tr>
        <w:tc>
          <w:tcPr>
            <w:tcW w:type="dxa" w:w="2880"/>
          </w:tcPr>
          <w:p>
            <w:r>
              <w:rPr>
                <w:sz w:val="17"/>
              </w:rPr>
              <w:t>P-103</w:t>
            </w:r>
          </w:p>
        </w:tc>
        <w:tc>
          <w:tcPr>
            <w:tcW w:type="dxa" w:w="2880"/>
          </w:tcPr>
          <w:p>
            <w:r>
              <w:rPr>
                <w:sz w:val="17"/>
              </w:rPr>
              <w:t>Acceptable Occupancies</w:t>
            </w:r>
          </w:p>
        </w:tc>
        <w:tc>
          <w:tcPr>
            <w:tcW w:type="dxa" w:w="2880"/>
          </w:tcPr>
          <w:p>
            <w:r>
              <w:rPr>
                <w:sz w:val="17"/>
              </w:rPr>
              <w:t>Office, warehouse, light manufacturing, retail, institutional, and habitational (apartments 4+ units). Industrial occupancies acceptable with prior loss review.</w:t>
            </w:r>
          </w:p>
        </w:tc>
      </w:tr>
      <w:tr>
        <w:tc>
          <w:tcPr>
            <w:tcW w:type="dxa" w:w="2880"/>
          </w:tcPr>
          <w:p>
            <w:r>
              <w:rPr>
                <w:sz w:val="17"/>
              </w:rPr>
              <w:t>P-104</w:t>
            </w:r>
          </w:p>
        </w:tc>
        <w:tc>
          <w:tcPr>
            <w:tcW w:type="dxa" w:w="2880"/>
          </w:tcPr>
          <w:p>
            <w:r>
              <w:rPr>
                <w:sz w:val="17"/>
              </w:rPr>
              <w:t>Prohibited Risks - Absolute</w:t>
            </w:r>
          </w:p>
        </w:tc>
        <w:tc>
          <w:tcPr>
            <w:tcW w:type="dxa" w:w="2880"/>
          </w:tcPr>
          <w:p>
            <w:r>
              <w:rPr>
                <w:sz w:val="17"/>
              </w:rPr>
              <w:t>Decline all submissions for: fireworks manufacturing/storage, cannabis cultivation/processing/dispensary, explosives manufacturing, nuclear facilities, munitions storage, oil refining (upstream), petrochemical processing, tire recycling/storage, and wood-frame assisted living &gt; 3 stories.</w:t>
            </w:r>
          </w:p>
        </w:tc>
      </w:tr>
      <w:tr>
        <w:tc>
          <w:tcPr>
            <w:tcW w:type="dxa" w:w="2880"/>
          </w:tcPr>
          <w:p>
            <w:r>
              <w:rPr>
                <w:sz w:val="17"/>
              </w:rPr>
              <w:t>P-105</w:t>
            </w:r>
          </w:p>
        </w:tc>
        <w:tc>
          <w:tcPr>
            <w:tcW w:type="dxa" w:w="2880"/>
          </w:tcPr>
          <w:p>
            <w:r>
              <w:rPr>
                <w:sz w:val="17"/>
              </w:rPr>
              <w:t>Prohibited Risks - Conditional</w:t>
            </w:r>
          </w:p>
        </w:tc>
        <w:tc>
          <w:tcPr>
            <w:tcW w:type="dxa" w:w="2880"/>
          </w:tcPr>
          <w:p>
            <w:r>
              <w:rPr>
                <w:sz w:val="17"/>
              </w:rPr>
              <w:t>The following require VP-level approval: dry cleaning (perc-based), waste-to-energy facilities, data centers &gt; 50MW, cold storage &gt; 100,000 sq ft, and any occupancy with spray-applied foam insulation.</w:t>
            </w:r>
          </w:p>
        </w:tc>
      </w:tr>
      <w:tr>
        <w:tc>
          <w:tcPr>
            <w:tcW w:type="dxa" w:w="2880"/>
          </w:tcPr>
          <w:p>
            <w:r>
              <w:rPr>
                <w:sz w:val="17"/>
              </w:rPr>
              <w:t>P-106</w:t>
            </w:r>
          </w:p>
        </w:tc>
        <w:tc>
          <w:tcPr>
            <w:tcW w:type="dxa" w:w="2880"/>
          </w:tcPr>
          <w:p>
            <w:r>
              <w:rPr>
                <w:sz w:val="17"/>
              </w:rPr>
              <w:t>Building Age Requirements</w:t>
            </w:r>
          </w:p>
        </w:tc>
        <w:tc>
          <w:tcPr>
            <w:tcW w:type="dxa" w:w="2880"/>
          </w:tcPr>
          <w:p>
            <w:r>
              <w:rPr>
                <w:sz w:val="17"/>
              </w:rPr>
              <w:t>Buildings &gt; 40 years old require updated appraisal within last 24 months. Buildings &gt; 60 years old require engineering inspection report and documentation of all electrical/plumbing/HVAC upgrades.</w:t>
            </w:r>
          </w:p>
        </w:tc>
      </w:tr>
      <w:tr>
        <w:tc>
          <w:tcPr>
            <w:tcW w:type="dxa" w:w="2880"/>
          </w:tcPr>
          <w:p>
            <w:r>
              <w:rPr>
                <w:sz w:val="17"/>
              </w:rPr>
              <w:t>P-107</w:t>
            </w:r>
          </w:p>
        </w:tc>
        <w:tc>
          <w:tcPr>
            <w:tcW w:type="dxa" w:w="2880"/>
          </w:tcPr>
          <w:p>
            <w:r>
              <w:rPr>
                <w:sz w:val="17"/>
              </w:rPr>
              <w:t>Minimum Protection Class</w:t>
            </w:r>
          </w:p>
        </w:tc>
        <w:tc>
          <w:tcPr>
            <w:tcW w:type="dxa" w:w="2880"/>
          </w:tcPr>
          <w:p>
            <w:r>
              <w:rPr>
                <w:sz w:val="17"/>
              </w:rPr>
              <w:t>ISO Public Protection Class (PPC) must be 7 or better. PPC 8 acceptable only for TIV &lt; $10,000,000. PPC 9-10 require referral with fire department response time documentation.</w:t>
            </w:r>
          </w:p>
        </w:tc>
      </w:tr>
    </w:tbl>
    <w:p/>
    <w:p>
      <w:pPr>
        <w:pStyle w:val="Heading1"/>
      </w:pPr>
      <w:r>
        <w:rPr>
          <w:color w:val="00205B"/>
        </w:rPr>
        <w:t>SECTION 2: MINIMUM COVERAGE REQUIREMENTS</w:t>
      </w:r>
    </w:p>
    <w:p>
      <w:pPr>
        <w:spacing w:after="120"/>
      </w:pPr>
      <w:r>
        <w:rPr>
          <w:b w:val="0"/>
          <w:color w:val="334155"/>
          <w:sz w:val="20"/>
        </w:rPr>
        <w:t>All AIG commercial property policies must meet the following minimum coverage standards. These requirements protect both the insured and AIG from underinsurance and coverage disputes.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fill="00205B"/>
          </w:tcPr>
          <w:p>
            <w:pPr>
              <w:jc w:val="center"/>
            </w:pPr>
            <w:r>
              <w:rPr>
                <w:b/>
                <w:color w:val="FFFFFF"/>
                <w:sz w:val="18"/>
              </w:rPr>
              <w:t>Rule ID</w:t>
            </w:r>
          </w:p>
        </w:tc>
        <w:tc>
          <w:tcPr>
            <w:tcW w:type="dxa" w:w="2880"/>
            <w:shd w:fill="00205B"/>
          </w:tcPr>
          <w:p>
            <w:pPr>
              <w:jc w:val="center"/>
            </w:pPr>
            <w:r>
              <w:rPr>
                <w:b/>
                <w:color w:val="FFFFFF"/>
                <w:sz w:val="18"/>
              </w:rPr>
              <w:t>Requirement</w:t>
            </w:r>
          </w:p>
        </w:tc>
        <w:tc>
          <w:tcPr>
            <w:tcW w:type="dxa" w:w="2880"/>
            <w:shd w:fill="00205B"/>
          </w:tcPr>
          <w:p>
            <w:pPr>
              <w:jc w:val="center"/>
            </w:pPr>
            <w:r>
              <w:rPr>
                <w:b/>
                <w:color w:val="FFFFFF"/>
                <w:sz w:val="18"/>
              </w:rPr>
              <w:t>Threshold / Standard</w:t>
            </w:r>
          </w:p>
        </w:tc>
      </w:tr>
      <w:tr>
        <w:tc>
          <w:tcPr>
            <w:tcW w:type="dxa" w:w="2880"/>
          </w:tcPr>
          <w:p>
            <w:r>
              <w:rPr>
                <w:sz w:val="17"/>
              </w:rPr>
              <w:t>P-201</w:t>
            </w:r>
          </w:p>
        </w:tc>
        <w:tc>
          <w:tcPr>
            <w:tcW w:type="dxa" w:w="2880"/>
          </w:tcPr>
          <w:p>
            <w:r>
              <w:rPr>
                <w:sz w:val="17"/>
              </w:rPr>
              <w:t>Minimum Limits by TIV Tier</w:t>
            </w:r>
          </w:p>
        </w:tc>
        <w:tc>
          <w:tcPr>
            <w:tcW w:type="dxa" w:w="2880"/>
          </w:tcPr>
          <w:p>
            <w:r>
              <w:rPr>
                <w:sz w:val="17"/>
              </w:rPr>
              <w:t>TIV $0-$5M: Minimum limit $1,000,000. TIV $5M-$25M: Minimum limit $5,000,000. TIV $25M-$100M: Minimum limit equal to 80% of TIV. TIV &gt; $100M: Minimum limit equal to Probable Maximum Loss (PML) as determined by RMS or AIR.</w:t>
            </w:r>
          </w:p>
        </w:tc>
      </w:tr>
      <w:tr>
        <w:tc>
          <w:tcPr>
            <w:tcW w:type="dxa" w:w="2880"/>
          </w:tcPr>
          <w:p>
            <w:r>
              <w:rPr>
                <w:sz w:val="17"/>
              </w:rPr>
              <w:t>P-202</w:t>
            </w:r>
          </w:p>
        </w:tc>
        <w:tc>
          <w:tcPr>
            <w:tcW w:type="dxa" w:w="2880"/>
          </w:tcPr>
          <w:p>
            <w:r>
              <w:rPr>
                <w:sz w:val="17"/>
              </w:rPr>
              <w:t>Required Coinsurance Percentage</w:t>
            </w:r>
          </w:p>
        </w:tc>
        <w:tc>
          <w:tcPr>
            <w:tcW w:type="dxa" w:w="2880"/>
          </w:tcPr>
          <w:p>
            <w:r>
              <w:rPr>
                <w:sz w:val="17"/>
              </w:rPr>
              <w:t>Minimum 80% coinsurance on all Replacement Cost policies. 90% coinsurance required for Agreed Value endorsement eligibility. 100% coinsurance required on blanket policies covering 3+ locations.</w:t>
            </w:r>
          </w:p>
        </w:tc>
      </w:tr>
      <w:tr>
        <w:tc>
          <w:tcPr>
            <w:tcW w:type="dxa" w:w="2880"/>
          </w:tcPr>
          <w:p>
            <w:r>
              <w:rPr>
                <w:sz w:val="17"/>
              </w:rPr>
              <w:t>P-203</w:t>
            </w:r>
          </w:p>
        </w:tc>
        <w:tc>
          <w:tcPr>
            <w:tcW w:type="dxa" w:w="2880"/>
          </w:tcPr>
          <w:p>
            <w:r>
              <w:rPr>
                <w:sz w:val="17"/>
              </w:rPr>
              <w:t>Required Endorsements - All Risks</w:t>
            </w:r>
          </w:p>
        </w:tc>
        <w:tc>
          <w:tcPr>
            <w:tcW w:type="dxa" w:w="2880"/>
          </w:tcPr>
          <w:p>
            <w:r>
              <w:rPr>
                <w:sz w:val="17"/>
              </w:rPr>
              <w:t>All policies must include: Ordinance or Law Coverage (min $500K or 10% of building limit), Utility Services - Direct Damage, Equipment Breakdown (if not separately placed), and Debris Removal (min 25% of loss or $250,000).</w:t>
            </w:r>
          </w:p>
        </w:tc>
      </w:tr>
      <w:tr>
        <w:tc>
          <w:tcPr>
            <w:tcW w:type="dxa" w:w="2880"/>
          </w:tcPr>
          <w:p>
            <w:r>
              <w:rPr>
                <w:sz w:val="17"/>
              </w:rPr>
              <w:t>P-204</w:t>
            </w:r>
          </w:p>
        </w:tc>
        <w:tc>
          <w:tcPr>
            <w:tcW w:type="dxa" w:w="2880"/>
          </w:tcPr>
          <w:p>
            <w:r>
              <w:rPr>
                <w:sz w:val="17"/>
              </w:rPr>
              <w:t>Required Endorsements - By Occupancy</w:t>
            </w:r>
          </w:p>
        </w:tc>
        <w:tc>
          <w:tcPr>
            <w:tcW w:type="dxa" w:w="2880"/>
          </w:tcPr>
          <w:p>
            <w:r>
              <w:rPr>
                <w:sz w:val="17"/>
              </w:rPr>
              <w:t>Manufacturing: Mechanical Breakdown, Off-Premises Power Supply. Habitational: Water Damage Legal Liability (min $100K per unit). Data Centers: Electronic Data Processing, Media Restoration. Cold Storage: Spoilage Coverage, Ammonia Contamination.</w:t>
            </w:r>
          </w:p>
        </w:tc>
      </w:tr>
      <w:tr>
        <w:tc>
          <w:tcPr>
            <w:tcW w:type="dxa" w:w="2880"/>
          </w:tcPr>
          <w:p>
            <w:r>
              <w:rPr>
                <w:sz w:val="17"/>
              </w:rPr>
              <w:t>P-205</w:t>
            </w:r>
          </w:p>
        </w:tc>
        <w:tc>
          <w:tcPr>
            <w:tcW w:type="dxa" w:w="2880"/>
          </w:tcPr>
          <w:p>
            <w:r>
              <w:rPr>
                <w:sz w:val="17"/>
              </w:rPr>
              <w:t>Business Income Minimum Period</w:t>
            </w:r>
          </w:p>
        </w:tc>
        <w:tc>
          <w:tcPr>
            <w:tcW w:type="dxa" w:w="2880"/>
          </w:tcPr>
          <w:p>
            <w:r>
              <w:rPr>
                <w:sz w:val="17"/>
              </w:rPr>
              <w:t>All BI coverage must provide minimum 12-month Actual Loss Sustained (ALS) or agreed amount equal to 50% of annual gross earnings. Extended period of indemnity: minimum 90 days beyond restoration.</w:t>
            </w:r>
          </w:p>
        </w:tc>
      </w:tr>
      <w:tr>
        <w:tc>
          <w:tcPr>
            <w:tcW w:type="dxa" w:w="2880"/>
          </w:tcPr>
          <w:p>
            <w:r>
              <w:rPr>
                <w:sz w:val="17"/>
              </w:rPr>
              <w:t>P-206</w:t>
            </w:r>
          </w:p>
        </w:tc>
        <w:tc>
          <w:tcPr>
            <w:tcW w:type="dxa" w:w="2880"/>
          </w:tcPr>
          <w:p>
            <w:r>
              <w:rPr>
                <w:sz w:val="17"/>
              </w:rPr>
              <w:t>Deductible Standards</w:t>
            </w:r>
          </w:p>
        </w:tc>
        <w:tc>
          <w:tcPr>
            <w:tcW w:type="dxa" w:w="2880"/>
          </w:tcPr>
          <w:p>
            <w:r>
              <w:rPr>
                <w:sz w:val="17"/>
              </w:rPr>
              <w:t>TIV $0-$5M: Maximum deductible $25,000. TIV $5M-$25M: Maximum deductible $50,000. TIV $25M-$100M: Maximum deductible $100,000. TIV &gt; $100M: Deductible negotiable, minimum $100,000. Wind/hail: Percentage deductible required per Section 4.</w:t>
            </w:r>
          </w:p>
        </w:tc>
      </w:tr>
    </w:tbl>
    <w:p/>
    <w:p>
      <w:pPr>
        <w:pStyle w:val="Heading1"/>
      </w:pPr>
      <w:r>
        <w:rPr>
          <w:color w:val="00205B"/>
        </w:rPr>
        <w:t>SECTION 3: LOSS RATIO STANDARDS</w:t>
      </w:r>
    </w:p>
    <w:p>
      <w:pPr>
        <w:spacing w:after="120"/>
      </w:pPr>
      <w:r>
        <w:rPr>
          <w:b w:val="0"/>
          <w:color w:val="334155"/>
          <w:sz w:val="20"/>
        </w:rPr>
        <w:t>AIG maintains strict loss ratio discipline across the commercial property book. These standards apply to both new business evaluation and renewal decisions.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fill="00205B"/>
          </w:tcPr>
          <w:p>
            <w:pPr>
              <w:jc w:val="center"/>
            </w:pPr>
            <w:r>
              <w:rPr>
                <w:b/>
                <w:color w:val="FFFFFF"/>
                <w:sz w:val="18"/>
              </w:rPr>
              <w:t>Rule ID</w:t>
            </w:r>
          </w:p>
        </w:tc>
        <w:tc>
          <w:tcPr>
            <w:tcW w:type="dxa" w:w="2880"/>
            <w:shd w:fill="00205B"/>
          </w:tcPr>
          <w:p>
            <w:pPr>
              <w:jc w:val="center"/>
            </w:pPr>
            <w:r>
              <w:rPr>
                <w:b/>
                <w:color w:val="FFFFFF"/>
                <w:sz w:val="18"/>
              </w:rPr>
              <w:t>Requirement</w:t>
            </w:r>
          </w:p>
        </w:tc>
        <w:tc>
          <w:tcPr>
            <w:tcW w:type="dxa" w:w="2880"/>
            <w:shd w:fill="00205B"/>
          </w:tcPr>
          <w:p>
            <w:pPr>
              <w:jc w:val="center"/>
            </w:pPr>
            <w:r>
              <w:rPr>
                <w:b/>
                <w:color w:val="FFFFFF"/>
                <w:sz w:val="18"/>
              </w:rPr>
              <w:t>Threshold / Standard</w:t>
            </w:r>
          </w:p>
        </w:tc>
      </w:tr>
      <w:tr>
        <w:tc>
          <w:tcPr>
            <w:tcW w:type="dxa" w:w="2880"/>
          </w:tcPr>
          <w:p>
            <w:r>
              <w:rPr>
                <w:sz w:val="17"/>
              </w:rPr>
              <w:t>P-301</w:t>
            </w:r>
          </w:p>
        </w:tc>
        <w:tc>
          <w:tcPr>
            <w:tcW w:type="dxa" w:w="2880"/>
          </w:tcPr>
          <w:p>
            <w:r>
              <w:rPr>
                <w:sz w:val="17"/>
              </w:rPr>
              <w:t>Maximum 5-Year Loss Ratio by Class</w:t>
            </w:r>
          </w:p>
        </w:tc>
        <w:tc>
          <w:tcPr>
            <w:tcW w:type="dxa" w:w="2880"/>
          </w:tcPr>
          <w:p>
            <w:r>
              <w:rPr>
                <w:sz w:val="17"/>
              </w:rPr>
              <w:t>Office/Institutional: Decline if 5-year combined ratio &gt; 55%. Retail/Habitational: Decline if 5-year combined ratio &gt; 60%. Warehouse/Distribution: Decline if 5-year combined ratio &gt; 65%. Light Manufacturing: Decline if 5-year combined ratio &gt; 70%. Heavy Manufacturing: Decline if 5-year combined ratio &gt; 75%.</w:t>
            </w:r>
          </w:p>
        </w:tc>
      </w:tr>
      <w:tr>
        <w:tc>
          <w:tcPr>
            <w:tcW w:type="dxa" w:w="2880"/>
          </w:tcPr>
          <w:p>
            <w:r>
              <w:rPr>
                <w:sz w:val="17"/>
              </w:rPr>
              <w:t>P-302</w:t>
            </w:r>
          </w:p>
        </w:tc>
        <w:tc>
          <w:tcPr>
            <w:tcW w:type="dxa" w:w="2880"/>
          </w:tcPr>
          <w:p>
            <w:r>
              <w:rPr>
                <w:sz w:val="17"/>
              </w:rPr>
              <w:t>Large Loss Threshold</w:t>
            </w:r>
          </w:p>
        </w:tc>
        <w:tc>
          <w:tcPr>
            <w:tcW w:type="dxa" w:w="2880"/>
          </w:tcPr>
          <w:p>
            <w:r>
              <w:rPr>
                <w:sz w:val="17"/>
              </w:rPr>
              <w:t>Any single loss exceeding $500,000 or 25% of annual premium (whichever is less) triggers mandatory Senior UW review. Two or more large losses in any 3-year period require Risk Acceptability Committee approval for renewal.</w:t>
            </w:r>
          </w:p>
        </w:tc>
      </w:tr>
      <w:tr>
        <w:tc>
          <w:tcPr>
            <w:tcW w:type="dxa" w:w="2880"/>
          </w:tcPr>
          <w:p>
            <w:r>
              <w:rPr>
                <w:sz w:val="17"/>
              </w:rPr>
              <w:t>P-303</w:t>
            </w:r>
          </w:p>
        </w:tc>
        <w:tc>
          <w:tcPr>
            <w:tcW w:type="dxa" w:w="2880"/>
          </w:tcPr>
          <w:p>
            <w:r>
              <w:rPr>
                <w:sz w:val="17"/>
              </w:rPr>
              <w:t>Claim Frequency Limits</w:t>
            </w:r>
          </w:p>
        </w:tc>
        <w:tc>
          <w:tcPr>
            <w:tcW w:type="dxa" w:w="2880"/>
          </w:tcPr>
          <w:p>
            <w:r>
              <w:rPr>
                <w:sz w:val="17"/>
              </w:rPr>
              <w:t>Decline or non-renew if: &gt;3 property claims in any rolling 12-month period, or &gt;5 property claims in any rolling 36-month period. Water damage claims: &gt;2 in any 12-month period triggers mandatory inspection requirement.</w:t>
            </w:r>
          </w:p>
        </w:tc>
      </w:tr>
      <w:tr>
        <w:tc>
          <w:tcPr>
            <w:tcW w:type="dxa" w:w="2880"/>
          </w:tcPr>
          <w:p>
            <w:r>
              <w:rPr>
                <w:sz w:val="17"/>
              </w:rPr>
              <w:t>P-304</w:t>
            </w:r>
          </w:p>
        </w:tc>
        <w:tc>
          <w:tcPr>
            <w:tcW w:type="dxa" w:w="2880"/>
          </w:tcPr>
          <w:p>
            <w:r>
              <w:rPr>
                <w:sz w:val="17"/>
              </w:rPr>
              <w:t>Incurred-But-Not-Reported (IBNR) Adjustment</w:t>
            </w:r>
          </w:p>
        </w:tc>
        <w:tc>
          <w:tcPr>
            <w:tcW w:type="dxa" w:w="2880"/>
          </w:tcPr>
          <w:p>
            <w:r>
              <w:rPr>
                <w:sz w:val="17"/>
              </w:rPr>
              <w:t>When evaluating accounts with open claims, apply IBNR factor: 1.15x for claims &lt; 12 months old, 1.25x for claims 12-24 months old, 1.10x for claims &gt; 24 months old. These factors are applied to total incurred for loss ratio calculation.</w:t>
            </w:r>
          </w:p>
        </w:tc>
      </w:tr>
      <w:tr>
        <w:tc>
          <w:tcPr>
            <w:tcW w:type="dxa" w:w="2880"/>
          </w:tcPr>
          <w:p>
            <w:r>
              <w:rPr>
                <w:sz w:val="17"/>
              </w:rPr>
              <w:t>P-305</w:t>
            </w:r>
          </w:p>
        </w:tc>
        <w:tc>
          <w:tcPr>
            <w:tcW w:type="dxa" w:w="2880"/>
          </w:tcPr>
          <w:p>
            <w:r>
              <w:rPr>
                <w:sz w:val="17"/>
              </w:rPr>
              <w:t>Loss Ratio Trend Analysis</w:t>
            </w:r>
          </w:p>
        </w:tc>
        <w:tc>
          <w:tcPr>
            <w:tcW w:type="dxa" w:w="2880"/>
          </w:tcPr>
          <w:p>
            <w:r>
              <w:rPr>
                <w:sz w:val="17"/>
              </w:rPr>
              <w:t>Decline if 3 consecutive policy periods show deteriorating loss ratio AND the most recent period loss ratio exceeds the class maximum in P-301. Exception: single catastrophe loss excluded from trend analysis if separately reported.</w:t>
            </w:r>
          </w:p>
        </w:tc>
      </w:tr>
      <w:tr>
        <w:tc>
          <w:tcPr>
            <w:tcW w:type="dxa" w:w="2880"/>
          </w:tcPr>
          <w:p>
            <w:r>
              <w:rPr>
                <w:sz w:val="17"/>
              </w:rPr>
              <w:t>P-306</w:t>
            </w:r>
          </w:p>
        </w:tc>
        <w:tc>
          <w:tcPr>
            <w:tcW w:type="dxa" w:w="2880"/>
          </w:tcPr>
          <w:p>
            <w:r>
              <w:rPr>
                <w:sz w:val="17"/>
              </w:rPr>
              <w:t>New Business Without Loss History</w:t>
            </w:r>
          </w:p>
        </w:tc>
        <w:tc>
          <w:tcPr>
            <w:tcW w:type="dxa" w:w="2880"/>
          </w:tcPr>
          <w:p>
            <w:r>
              <w:rPr>
                <w:sz w:val="17"/>
              </w:rPr>
              <w:t>New ventures (&lt; 3 years operating history) require: minimum 25% rate surcharge, $50,000 minimum deductible, and 1-year policy term only. Risk must be classified as "developmental" in the underwriting system.</w:t>
            </w:r>
          </w:p>
        </w:tc>
      </w:tr>
    </w:tbl>
    <w:p/>
    <w:p>
      <w:r>
        <w:br w:type="page"/>
      </w:r>
    </w:p>
    <w:p>
      <w:pPr>
        <w:pStyle w:val="Heading1"/>
      </w:pPr>
      <w:r>
        <w:rPr>
          <w:color w:val="00205B"/>
        </w:rPr>
        <w:t>SECTION 4: CATASTROPHE EXPOSURE</w:t>
      </w:r>
    </w:p>
    <w:p>
      <w:pPr>
        <w:spacing w:after="120"/>
      </w:pPr>
      <w:r>
        <w:rPr>
          <w:b w:val="0"/>
          <w:color w:val="334155"/>
          <w:sz w:val="20"/>
        </w:rPr>
        <w:t>AIG actively manages catastrophe accumulation across all CAT zones. These rules establish maximum exposure limits, required deductibles, and geographic restrictions for wind, flood, and earthquake perils.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fill="00205B"/>
          </w:tcPr>
          <w:p>
            <w:pPr>
              <w:jc w:val="center"/>
            </w:pPr>
            <w:r>
              <w:rPr>
                <w:b/>
                <w:color w:val="FFFFFF"/>
                <w:sz w:val="18"/>
              </w:rPr>
              <w:t>Rule ID</w:t>
            </w:r>
          </w:p>
        </w:tc>
        <w:tc>
          <w:tcPr>
            <w:tcW w:type="dxa" w:w="2880"/>
            <w:shd w:fill="00205B"/>
          </w:tcPr>
          <w:p>
            <w:pPr>
              <w:jc w:val="center"/>
            </w:pPr>
            <w:r>
              <w:rPr>
                <w:b/>
                <w:color w:val="FFFFFF"/>
                <w:sz w:val="18"/>
              </w:rPr>
              <w:t>Requirement</w:t>
            </w:r>
          </w:p>
        </w:tc>
        <w:tc>
          <w:tcPr>
            <w:tcW w:type="dxa" w:w="2880"/>
            <w:shd w:fill="00205B"/>
          </w:tcPr>
          <w:p>
            <w:pPr>
              <w:jc w:val="center"/>
            </w:pPr>
            <w:r>
              <w:rPr>
                <w:b/>
                <w:color w:val="FFFFFF"/>
                <w:sz w:val="18"/>
              </w:rPr>
              <w:t>Threshold / Standard</w:t>
            </w:r>
          </w:p>
        </w:tc>
      </w:tr>
      <w:tr>
        <w:tc>
          <w:tcPr>
            <w:tcW w:type="dxa" w:w="2880"/>
          </w:tcPr>
          <w:p>
            <w:r>
              <w:rPr>
                <w:sz w:val="17"/>
              </w:rPr>
              <w:t>P-401</w:t>
            </w:r>
          </w:p>
        </w:tc>
        <w:tc>
          <w:tcPr>
            <w:tcW w:type="dxa" w:w="2880"/>
          </w:tcPr>
          <w:p>
            <w:r>
              <w:rPr>
                <w:sz w:val="17"/>
              </w:rPr>
              <w:t>Maximum TIV per CAT Zone - Hurricane</w:t>
            </w:r>
          </w:p>
        </w:tc>
        <w:tc>
          <w:tcPr>
            <w:tcW w:type="dxa" w:w="2880"/>
          </w:tcPr>
          <w:p>
            <w:r>
              <w:rPr>
                <w:sz w:val="17"/>
              </w:rPr>
              <w:t>Zone 1 (Coastal TX, LA, FL Panhandle): Max $50M per location, $200M per county. Zone 2 (Inland Gulf, SE Atlantic coast): Max $75M per location, $300M per county. Zone 3 (Mid-Atlantic, inland SE): Max $100M per location, $500M per county. Aggregate limits managed by CAT Management team quarterly.</w:t>
            </w:r>
          </w:p>
        </w:tc>
      </w:tr>
      <w:tr>
        <w:tc>
          <w:tcPr>
            <w:tcW w:type="dxa" w:w="2880"/>
          </w:tcPr>
          <w:p>
            <w:r>
              <w:rPr>
                <w:sz w:val="17"/>
              </w:rPr>
              <w:t>P-402</w:t>
            </w:r>
          </w:p>
        </w:tc>
        <w:tc>
          <w:tcPr>
            <w:tcW w:type="dxa" w:w="2880"/>
          </w:tcPr>
          <w:p>
            <w:r>
              <w:rPr>
                <w:sz w:val="17"/>
              </w:rPr>
              <w:t>Wind/Hail Deductible Minimums</w:t>
            </w:r>
          </w:p>
        </w:tc>
        <w:tc>
          <w:tcPr>
            <w:tcW w:type="dxa" w:w="2880"/>
          </w:tcPr>
          <w:p>
            <w:r>
              <w:rPr>
                <w:sz w:val="17"/>
              </w:rPr>
              <w:t>Tier 1 (Coastal 0-10 mi): 5% of TIV at time of loss, minimum $500,000. Tier 2 (Near-Coast 10-50 mi): 3% of TIV at time of loss, minimum $250,000. Tier 3 (Inland 50-100 mi): 2% of TIV at time of loss, minimum $100,000. Tier 4 (Interior &gt;100 mi): Flat deductible per policy declarations, minimum $50,000.</w:t>
            </w:r>
          </w:p>
        </w:tc>
      </w:tr>
      <w:tr>
        <w:tc>
          <w:tcPr>
            <w:tcW w:type="dxa" w:w="2880"/>
          </w:tcPr>
          <w:p>
            <w:r>
              <w:rPr>
                <w:sz w:val="17"/>
              </w:rPr>
              <w:t>P-403</w:t>
            </w:r>
          </w:p>
        </w:tc>
        <w:tc>
          <w:tcPr>
            <w:tcW w:type="dxa" w:w="2880"/>
          </w:tcPr>
          <w:p>
            <w:r>
              <w:rPr>
                <w:sz w:val="17"/>
              </w:rPr>
              <w:t>Flood Zone Restrictions</w:t>
            </w:r>
          </w:p>
        </w:tc>
        <w:tc>
          <w:tcPr>
            <w:tcW w:type="dxa" w:w="2880"/>
          </w:tcPr>
          <w:p>
            <w:r>
              <w:rPr>
                <w:sz w:val="17"/>
              </w:rPr>
              <w:t>Zone V (Coastal High Hazard): DECLINE. No exceptions. Zone VE: DECLINE. No exceptions. Zone AE (100-year floodplain): Maximum $2,500,000 sublimit; require NFIP as primary. Zone A (100-year, no BFE): Maximum $1,000,000 sublimit; require NFIP and elevation cert. Zone X Shaded (500-year): Standard terms, no sublimit required. Zone X Unshaded (Minimal): Standard terms.</w:t>
            </w:r>
          </w:p>
        </w:tc>
      </w:tr>
      <w:tr>
        <w:tc>
          <w:tcPr>
            <w:tcW w:type="dxa" w:w="2880"/>
          </w:tcPr>
          <w:p>
            <w:r>
              <w:rPr>
                <w:sz w:val="17"/>
              </w:rPr>
              <w:t>P-404</w:t>
            </w:r>
          </w:p>
        </w:tc>
        <w:tc>
          <w:tcPr>
            <w:tcW w:type="dxa" w:w="2880"/>
          </w:tcPr>
          <w:p>
            <w:r>
              <w:rPr>
                <w:sz w:val="17"/>
              </w:rPr>
              <w:t>Earthquake Requirements</w:t>
            </w:r>
          </w:p>
        </w:tc>
        <w:tc>
          <w:tcPr>
            <w:tcW w:type="dxa" w:w="2880"/>
          </w:tcPr>
          <w:p>
            <w:r>
              <w:rPr>
                <w:sz w:val="17"/>
              </w:rPr>
              <w:t>CA (fault distance &lt; 5 mi): 15% deductible of TIV, min $250,000. Max TIV $50M. CA (fault distance 5-25 mi): 10% deductible of TIV, min $100,000. Pacific NW (Cascadia Zone): 10% deductible of TIV, min $150,000. New Madrid Seismic Zone: 5% deductible of TIV, min $75,000. All other zones: 2% deductible of TIV, min $25,000.</w:t>
            </w:r>
          </w:p>
        </w:tc>
      </w:tr>
      <w:tr>
        <w:tc>
          <w:tcPr>
            <w:tcW w:type="dxa" w:w="2880"/>
          </w:tcPr>
          <w:p>
            <w:r>
              <w:rPr>
                <w:sz w:val="17"/>
              </w:rPr>
              <w:t>P-405</w:t>
            </w:r>
          </w:p>
        </w:tc>
        <w:tc>
          <w:tcPr>
            <w:tcW w:type="dxa" w:w="2880"/>
          </w:tcPr>
          <w:p>
            <w:r>
              <w:rPr>
                <w:sz w:val="17"/>
              </w:rPr>
              <w:t>CAT Aggregate Monitoring</w:t>
            </w:r>
          </w:p>
        </w:tc>
        <w:tc>
          <w:tcPr>
            <w:tcW w:type="dxa" w:w="2880"/>
          </w:tcPr>
          <w:p>
            <w:r>
              <w:rPr>
                <w:sz w:val="17"/>
              </w:rPr>
              <w:t>Underwriters must check CAT accumulation dashboard before binding any risk with TIV &gt; $10,000,000. If county-level accumulation exceeds 80% of maximum, referral to CAT Management is required. If at 100%, no new risks in that zone.</w:t>
            </w:r>
          </w:p>
        </w:tc>
      </w:tr>
      <w:tr>
        <w:tc>
          <w:tcPr>
            <w:tcW w:type="dxa" w:w="2880"/>
          </w:tcPr>
          <w:p>
            <w:r>
              <w:rPr>
                <w:sz w:val="17"/>
              </w:rPr>
              <w:t>P-406</w:t>
            </w:r>
          </w:p>
        </w:tc>
        <w:tc>
          <w:tcPr>
            <w:tcW w:type="dxa" w:w="2880"/>
          </w:tcPr>
          <w:p>
            <w:r>
              <w:rPr>
                <w:sz w:val="17"/>
              </w:rPr>
              <w:t>Named Storm Moratorium</w:t>
            </w:r>
          </w:p>
        </w:tc>
        <w:tc>
          <w:tcPr>
            <w:tcW w:type="dxa" w:w="2880"/>
          </w:tcPr>
          <w:p>
            <w:r>
              <w:rPr>
                <w:sz w:val="17"/>
              </w:rPr>
              <w:t>Binding authority suspended for all new business and endorsements increasing limits when NHC issues a Tropical Storm or Hurricane Watch for any county within 200 miles of the insured location. Moratorium continues until 72 hours after Watch is lifted.</w:t>
            </w:r>
          </w:p>
        </w:tc>
      </w:tr>
    </w:tbl>
    <w:p/>
    <w:p>
      <w:pPr>
        <w:pStyle w:val="Heading1"/>
      </w:pPr>
      <w:r>
        <w:rPr>
          <w:color w:val="00205B"/>
        </w:rPr>
        <w:t>SECTION 5: PROTECTIVE SAFEGUARDS</w:t>
      </w:r>
    </w:p>
    <w:p>
      <w:pPr>
        <w:spacing w:after="120"/>
      </w:pPr>
      <w:r>
        <w:rPr>
          <w:b w:val="0"/>
          <w:color w:val="334155"/>
          <w:sz w:val="20"/>
        </w:rPr>
        <w:t>Adequate protective safeguards are a condition of coverage. Failure to maintain required safeguards may void coverage at time of loss per the Protective Safeguards endorsement (CP 04 11).</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fill="00205B"/>
          </w:tcPr>
          <w:p>
            <w:pPr>
              <w:jc w:val="center"/>
            </w:pPr>
            <w:r>
              <w:rPr>
                <w:b/>
                <w:color w:val="FFFFFF"/>
                <w:sz w:val="18"/>
              </w:rPr>
              <w:t>Rule ID</w:t>
            </w:r>
          </w:p>
        </w:tc>
        <w:tc>
          <w:tcPr>
            <w:tcW w:type="dxa" w:w="2880"/>
            <w:shd w:fill="00205B"/>
          </w:tcPr>
          <w:p>
            <w:pPr>
              <w:jc w:val="center"/>
            </w:pPr>
            <w:r>
              <w:rPr>
                <w:b/>
                <w:color w:val="FFFFFF"/>
                <w:sz w:val="18"/>
              </w:rPr>
              <w:t>Requirement</w:t>
            </w:r>
          </w:p>
        </w:tc>
        <w:tc>
          <w:tcPr>
            <w:tcW w:type="dxa" w:w="2880"/>
            <w:shd w:fill="00205B"/>
          </w:tcPr>
          <w:p>
            <w:pPr>
              <w:jc w:val="center"/>
            </w:pPr>
            <w:r>
              <w:rPr>
                <w:b/>
                <w:color w:val="FFFFFF"/>
                <w:sz w:val="18"/>
              </w:rPr>
              <w:t>Threshold / Standard</w:t>
            </w:r>
          </w:p>
        </w:tc>
      </w:tr>
      <w:tr>
        <w:tc>
          <w:tcPr>
            <w:tcW w:type="dxa" w:w="2880"/>
          </w:tcPr>
          <w:p>
            <w:r>
              <w:rPr>
                <w:sz w:val="17"/>
              </w:rPr>
              <w:t>P-501</w:t>
            </w:r>
          </w:p>
        </w:tc>
        <w:tc>
          <w:tcPr>
            <w:tcW w:type="dxa" w:w="2880"/>
          </w:tcPr>
          <w:p>
            <w:r>
              <w:rPr>
                <w:sz w:val="17"/>
              </w:rPr>
              <w:t>Sprinkler Requirements by Occupancy</w:t>
            </w:r>
          </w:p>
        </w:tc>
        <w:tc>
          <w:tcPr>
            <w:tcW w:type="dxa" w:w="2880"/>
          </w:tcPr>
          <w:p>
            <w:r>
              <w:rPr>
                <w:sz w:val="17"/>
              </w:rPr>
              <w:t>Manufacturing (all types): Full automatic sprinkler system, NFPA 13 compliant. Warehouse &gt;20,000 sq ft: Full ESFR or in-rack sprinkler per NFPA 13. Habitational &gt; 3 stories: Full sprinkler per NFPA 13R minimum. Office &gt; 5 stories: Full sprinkler per NFPA 13. All other occupancies &gt; $10M TIV: Full sprinkler required.</w:t>
            </w:r>
          </w:p>
        </w:tc>
      </w:tr>
      <w:tr>
        <w:tc>
          <w:tcPr>
            <w:tcW w:type="dxa" w:w="2880"/>
          </w:tcPr>
          <w:p>
            <w:r>
              <w:rPr>
                <w:sz w:val="17"/>
              </w:rPr>
              <w:t>P-502</w:t>
            </w:r>
          </w:p>
        </w:tc>
        <w:tc>
          <w:tcPr>
            <w:tcW w:type="dxa" w:w="2880"/>
          </w:tcPr>
          <w:p>
            <w:r>
              <w:rPr>
                <w:sz w:val="17"/>
              </w:rPr>
              <w:t>Fire Alarm Requirements</w:t>
            </w:r>
          </w:p>
        </w:tc>
        <w:tc>
          <w:tcPr>
            <w:tcW w:type="dxa" w:w="2880"/>
          </w:tcPr>
          <w:p>
            <w:r>
              <w:rPr>
                <w:sz w:val="17"/>
              </w:rPr>
              <w:t>All risks with TIV &gt; $5,000,000: Central station monitored fire alarm system required. Manufacturing with combustible processes: Addressable fire alarm with smoke/heat detection in all production areas. Annual inspection certificate must be on file.</w:t>
            </w:r>
          </w:p>
        </w:tc>
      </w:tr>
      <w:tr>
        <w:tc>
          <w:tcPr>
            <w:tcW w:type="dxa" w:w="2880"/>
          </w:tcPr>
          <w:p>
            <w:r>
              <w:rPr>
                <w:sz w:val="17"/>
              </w:rPr>
              <w:t>P-503</w:t>
            </w:r>
          </w:p>
        </w:tc>
        <w:tc>
          <w:tcPr>
            <w:tcW w:type="dxa" w:w="2880"/>
          </w:tcPr>
          <w:p>
            <w:r>
              <w:rPr>
                <w:sz w:val="17"/>
              </w:rPr>
              <w:t>Roof Maintenance Standards</w:t>
            </w:r>
          </w:p>
        </w:tc>
        <w:tc>
          <w:tcPr>
            <w:tcW w:type="dxa" w:w="2880"/>
          </w:tcPr>
          <w:p>
            <w:r>
              <w:rPr>
                <w:sz w:val="17"/>
              </w:rPr>
              <w:t>All risks: Roof inspection report within last 24 months. Flat/built-up roofs &gt; 15 years old: semi-annual inspection required. Replace if &gt; 20 years old without major renovation. Metal roofs must be rated for local design wind speed per ASCE 7. Standing seam preferred over exposed fastener in Tier 1-2 wind zones.</w:t>
            </w:r>
          </w:p>
        </w:tc>
      </w:tr>
      <w:tr>
        <w:tc>
          <w:tcPr>
            <w:tcW w:type="dxa" w:w="2880"/>
          </w:tcPr>
          <w:p>
            <w:r>
              <w:rPr>
                <w:sz w:val="17"/>
              </w:rPr>
              <w:t>P-504</w:t>
            </w:r>
          </w:p>
        </w:tc>
        <w:tc>
          <w:tcPr>
            <w:tcW w:type="dxa" w:w="2880"/>
          </w:tcPr>
          <w:p>
            <w:r>
              <w:rPr>
                <w:sz w:val="17"/>
              </w:rPr>
              <w:t>Hot Work Procedures</w:t>
            </w:r>
          </w:p>
        </w:tc>
        <w:tc>
          <w:tcPr>
            <w:tcW w:type="dxa" w:w="2880"/>
          </w:tcPr>
          <w:p>
            <w:r>
              <w:rPr>
                <w:sz w:val="17"/>
              </w:rPr>
              <w:t>All manufacturing and construction occupancies must have written hot work permit program compliant with NFPA 51B. Requirements: designated fire watch for minimum 60 minutes after work completion, pre-work area inspection within 35-foot radius, and annual training documentation for all employees performing hot work.</w:t>
            </w:r>
          </w:p>
        </w:tc>
      </w:tr>
      <w:tr>
        <w:tc>
          <w:tcPr>
            <w:tcW w:type="dxa" w:w="2880"/>
          </w:tcPr>
          <w:p>
            <w:r>
              <w:rPr>
                <w:sz w:val="17"/>
              </w:rPr>
              <w:t>P-505</w:t>
            </w:r>
          </w:p>
        </w:tc>
        <w:tc>
          <w:tcPr>
            <w:tcW w:type="dxa" w:w="2880"/>
          </w:tcPr>
          <w:p>
            <w:r>
              <w:rPr>
                <w:sz w:val="17"/>
              </w:rPr>
              <w:t>Electrical Maintenance</w:t>
            </w:r>
          </w:p>
        </w:tc>
        <w:tc>
          <w:tcPr>
            <w:tcW w:type="dxa" w:w="2880"/>
          </w:tcPr>
          <w:p>
            <w:r>
              <w:rPr>
                <w:sz w:val="17"/>
              </w:rPr>
              <w:t>All risks with TIV &gt; $10,000,000: Infrared thermographic scan of main electrical panels within last 24 months. Buildings &gt; 30 years old: require electrical system upgrade documentation or engineer's certification that wiring meets current NEC standards.</w:t>
            </w:r>
          </w:p>
        </w:tc>
      </w:tr>
      <w:tr>
        <w:tc>
          <w:tcPr>
            <w:tcW w:type="dxa" w:w="2880"/>
          </w:tcPr>
          <w:p>
            <w:r>
              <w:rPr>
                <w:sz w:val="17"/>
              </w:rPr>
              <w:t>P-506</w:t>
            </w:r>
          </w:p>
        </w:tc>
        <w:tc>
          <w:tcPr>
            <w:tcW w:type="dxa" w:w="2880"/>
          </w:tcPr>
          <w:p>
            <w:r>
              <w:rPr>
                <w:sz w:val="17"/>
              </w:rPr>
              <w:t>Water Damage Prevention</w:t>
            </w:r>
          </w:p>
        </w:tc>
        <w:tc>
          <w:tcPr>
            <w:tcW w:type="dxa" w:w="2880"/>
          </w:tcPr>
          <w:p>
            <w:r>
              <w:rPr>
                <w:sz w:val="17"/>
              </w:rPr>
              <w:t>Habitational risks &gt; 50 units: Require automatic water shutoff system (leak detection) in all units. All risks: Domestic water heaters &gt; 12 years old must be replaced. No flex supply lines older than 5 years. Quarterly inspection of all HVAC condensate drain lines in multi-story buildings.</w:t>
            </w:r>
          </w:p>
        </w:tc>
      </w:tr>
    </w:tbl>
    <w:p/>
    <w:p>
      <w:r>
        <w:br w:type="page"/>
      </w:r>
    </w:p>
    <w:p>
      <w:pPr>
        <w:pStyle w:val="Heading1"/>
      </w:pPr>
      <w:r>
        <w:rPr>
          <w:color w:val="00205B"/>
        </w:rPr>
        <w:t>SECTION 6: VALUATION STANDARDS</w:t>
      </w:r>
    </w:p>
    <w:p>
      <w:pPr>
        <w:spacing w:after="120"/>
      </w:pPr>
      <w:r>
        <w:rPr>
          <w:b w:val="0"/>
          <w:color w:val="334155"/>
          <w:sz w:val="20"/>
        </w:rPr>
        <w:t>Accurate property valuation is essential to proper risk assessment and adequate premium development. These standards ensure consistency in valuation methodology across the AIG property book.</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fill="00205B"/>
          </w:tcPr>
          <w:p>
            <w:pPr>
              <w:jc w:val="center"/>
            </w:pPr>
            <w:r>
              <w:rPr>
                <w:b/>
                <w:color w:val="FFFFFF"/>
                <w:sz w:val="18"/>
              </w:rPr>
              <w:t>Rule ID</w:t>
            </w:r>
          </w:p>
        </w:tc>
        <w:tc>
          <w:tcPr>
            <w:tcW w:type="dxa" w:w="2880"/>
            <w:shd w:fill="00205B"/>
          </w:tcPr>
          <w:p>
            <w:pPr>
              <w:jc w:val="center"/>
            </w:pPr>
            <w:r>
              <w:rPr>
                <w:b/>
                <w:color w:val="FFFFFF"/>
                <w:sz w:val="18"/>
              </w:rPr>
              <w:t>Requirement</w:t>
            </w:r>
          </w:p>
        </w:tc>
        <w:tc>
          <w:tcPr>
            <w:tcW w:type="dxa" w:w="2880"/>
            <w:shd w:fill="00205B"/>
          </w:tcPr>
          <w:p>
            <w:pPr>
              <w:jc w:val="center"/>
            </w:pPr>
            <w:r>
              <w:rPr>
                <w:b/>
                <w:color w:val="FFFFFF"/>
                <w:sz w:val="18"/>
              </w:rPr>
              <w:t>Threshold / Standard</w:t>
            </w:r>
          </w:p>
        </w:tc>
      </w:tr>
      <w:tr>
        <w:tc>
          <w:tcPr>
            <w:tcW w:type="dxa" w:w="2880"/>
          </w:tcPr>
          <w:p>
            <w:r>
              <w:rPr>
                <w:sz w:val="17"/>
              </w:rPr>
              <w:t>P-601</w:t>
            </w:r>
          </w:p>
        </w:tc>
        <w:tc>
          <w:tcPr>
            <w:tcW w:type="dxa" w:w="2880"/>
          </w:tcPr>
          <w:p>
            <w:r>
              <w:rPr>
                <w:sz w:val="17"/>
              </w:rPr>
              <w:t>Replacement Cost vs. Actual Cash Value</w:t>
            </w:r>
          </w:p>
        </w:tc>
        <w:tc>
          <w:tcPr>
            <w:tcW w:type="dxa" w:w="2880"/>
          </w:tcPr>
          <w:p>
            <w:r>
              <w:rPr>
                <w:sz w:val="17"/>
              </w:rPr>
              <w:t>Default valuation: Replacement Cost (RC) for all buildings &lt; 30 years old. ACV permitted only for: buildings &gt; 30 years old awaiting renovation, buildings scheduled for demolition within 36 months, or at insured's written request with acknowledged coinsurance penalty risk. Functional Replacement Cost: available for historic structures and religious institutions.</w:t>
            </w:r>
          </w:p>
        </w:tc>
      </w:tr>
      <w:tr>
        <w:tc>
          <w:tcPr>
            <w:tcW w:type="dxa" w:w="2880"/>
          </w:tcPr>
          <w:p>
            <w:r>
              <w:rPr>
                <w:sz w:val="17"/>
              </w:rPr>
              <w:t>P-602</w:t>
            </w:r>
          </w:p>
        </w:tc>
        <w:tc>
          <w:tcPr>
            <w:tcW w:type="dxa" w:w="2880"/>
          </w:tcPr>
          <w:p>
            <w:r>
              <w:rPr>
                <w:sz w:val="17"/>
              </w:rPr>
              <w:t>Agreed Value Conditions</w:t>
            </w:r>
          </w:p>
        </w:tc>
        <w:tc>
          <w:tcPr>
            <w:tcW w:type="dxa" w:w="2880"/>
          </w:tcPr>
          <w:p>
            <w:r>
              <w:rPr>
                <w:sz w:val="17"/>
              </w:rPr>
              <w:t>Agreed Value endorsement available only when: (1) SOV has been updated within 12 months, (2) independent appraisal by ASA- or AI-designated appraiser is on file for buildings &gt; $10M value, (3) 90% coinsurance clause is in effect, and (4) building reconstruction cost estimate uses Marshall &amp; Swift or equivalent methodology.</w:t>
            </w:r>
          </w:p>
        </w:tc>
      </w:tr>
      <w:tr>
        <w:tc>
          <w:tcPr>
            <w:tcW w:type="dxa" w:w="2880"/>
          </w:tcPr>
          <w:p>
            <w:r>
              <w:rPr>
                <w:sz w:val="17"/>
              </w:rPr>
              <w:t>P-603</w:t>
            </w:r>
          </w:p>
        </w:tc>
        <w:tc>
          <w:tcPr>
            <w:tcW w:type="dxa" w:w="2880"/>
          </w:tcPr>
          <w:p>
            <w:r>
              <w:rPr>
                <w:sz w:val="17"/>
              </w:rPr>
              <w:t>Statement of Values (SOV) Update Frequency</w:t>
            </w:r>
          </w:p>
        </w:tc>
        <w:tc>
          <w:tcPr>
            <w:tcW w:type="dxa" w:w="2880"/>
          </w:tcPr>
          <w:p>
            <w:r>
              <w:rPr>
                <w:sz w:val="17"/>
              </w:rPr>
              <w:t>SOVs must be updated: annually for all accounts with TIV &gt; $25M, every 18 months for accounts with TIV $10M-$25M, every 24 months for accounts with TIV &lt; $10M. SOV must include: replacement cost, ACV, square footage, year built, construction type, occupancy, and protective safeguards for each location.</w:t>
            </w:r>
          </w:p>
        </w:tc>
      </w:tr>
      <w:tr>
        <w:tc>
          <w:tcPr>
            <w:tcW w:type="dxa" w:w="2880"/>
          </w:tcPr>
          <w:p>
            <w:r>
              <w:rPr>
                <w:sz w:val="17"/>
              </w:rPr>
              <w:t>P-604</w:t>
            </w:r>
          </w:p>
        </w:tc>
        <w:tc>
          <w:tcPr>
            <w:tcW w:type="dxa" w:w="2880"/>
          </w:tcPr>
          <w:p>
            <w:r>
              <w:rPr>
                <w:sz w:val="17"/>
              </w:rPr>
              <w:t>Business Income Calculation Methodology</w:t>
            </w:r>
          </w:p>
        </w:tc>
        <w:tc>
          <w:tcPr>
            <w:tcW w:type="dxa" w:w="2880"/>
          </w:tcPr>
          <w:p>
            <w:r>
              <w:rPr>
                <w:sz w:val="17"/>
              </w:rPr>
              <w:t>BI limits must be calculated using the AIG Business Income Worksheet (Form AIG-BI-100). Methodology: (Annual Gross Revenue - Non-Continuing Expenses) x (Estimated Period of Restoration in months / 12) x 1.25 safety factor. Minimum BI limit: 50% of annual gross earnings for manufacturing, 40% for office/retail, 60% for technology/data operations.</w:t>
            </w:r>
          </w:p>
        </w:tc>
      </w:tr>
      <w:tr>
        <w:tc>
          <w:tcPr>
            <w:tcW w:type="dxa" w:w="2880"/>
          </w:tcPr>
          <w:p>
            <w:r>
              <w:rPr>
                <w:sz w:val="17"/>
              </w:rPr>
              <w:t>P-605</w:t>
            </w:r>
          </w:p>
        </w:tc>
        <w:tc>
          <w:tcPr>
            <w:tcW w:type="dxa" w:w="2880"/>
          </w:tcPr>
          <w:p>
            <w:r>
              <w:rPr>
                <w:sz w:val="17"/>
              </w:rPr>
              <w:t>Equipment and Machinery Valuation</w:t>
            </w:r>
          </w:p>
        </w:tc>
        <w:tc>
          <w:tcPr>
            <w:tcW w:type="dxa" w:w="2880"/>
          </w:tcPr>
          <w:p>
            <w:r>
              <w:rPr>
                <w:sz w:val="17"/>
              </w:rPr>
              <w:t>Specialized equipment &gt; $1M individual value: require itemized schedule with serial numbers, date of manufacture, and individual RC values. Depreciation schedule: straight-line over manufacturer's expected useful life. EDP equipment: maximum 5-year useful life for valuation purposes.</w:t>
            </w:r>
          </w:p>
        </w:tc>
      </w:tr>
    </w:tbl>
    <w:p/>
    <w:p>
      <w:pPr>
        <w:pStyle w:val="Heading1"/>
      </w:pPr>
      <w:r>
        <w:rPr>
          <w:color w:val="00205B"/>
        </w:rPr>
        <w:t>SECTION 7: PRICING GUIDELINES</w:t>
      </w:r>
    </w:p>
    <w:p>
      <w:pPr>
        <w:spacing w:after="120"/>
      </w:pPr>
      <w:r>
        <w:rPr>
          <w:b w:val="0"/>
          <w:color w:val="334155"/>
          <w:sz w:val="20"/>
        </w:rPr>
        <w:t>These pricing guidelines establish minimum rates and rating methodologies for the AIG commercial property book. All rates are subject to state-specific filing requirements and regulatory constraints.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fill="00205B"/>
          </w:tcPr>
          <w:p>
            <w:pPr>
              <w:jc w:val="center"/>
            </w:pPr>
            <w:r>
              <w:rPr>
                <w:b/>
                <w:color w:val="FFFFFF"/>
                <w:sz w:val="18"/>
              </w:rPr>
              <w:t>Rule ID</w:t>
            </w:r>
          </w:p>
        </w:tc>
        <w:tc>
          <w:tcPr>
            <w:tcW w:type="dxa" w:w="2880"/>
            <w:shd w:fill="00205B"/>
          </w:tcPr>
          <w:p>
            <w:pPr>
              <w:jc w:val="center"/>
            </w:pPr>
            <w:r>
              <w:rPr>
                <w:b/>
                <w:color w:val="FFFFFF"/>
                <w:sz w:val="18"/>
              </w:rPr>
              <w:t>Requirement</w:t>
            </w:r>
          </w:p>
        </w:tc>
        <w:tc>
          <w:tcPr>
            <w:tcW w:type="dxa" w:w="2880"/>
            <w:shd w:fill="00205B"/>
          </w:tcPr>
          <w:p>
            <w:pPr>
              <w:jc w:val="center"/>
            </w:pPr>
            <w:r>
              <w:rPr>
                <w:b/>
                <w:color w:val="FFFFFF"/>
                <w:sz w:val="18"/>
              </w:rPr>
              <w:t>Threshold / Standard</w:t>
            </w:r>
          </w:p>
        </w:tc>
      </w:tr>
      <w:tr>
        <w:tc>
          <w:tcPr>
            <w:tcW w:type="dxa" w:w="2880"/>
          </w:tcPr>
          <w:p>
            <w:r>
              <w:rPr>
                <w:sz w:val="17"/>
              </w:rPr>
              <w:t>P-701</w:t>
            </w:r>
          </w:p>
        </w:tc>
        <w:tc>
          <w:tcPr>
            <w:tcW w:type="dxa" w:w="2880"/>
          </w:tcPr>
          <w:p>
            <w:r>
              <w:rPr>
                <w:sz w:val="17"/>
              </w:rPr>
              <w:t>Minimum Rates per $100 of TIV by Construction Class</w:t>
            </w:r>
          </w:p>
        </w:tc>
        <w:tc>
          <w:tcPr>
            <w:tcW w:type="dxa" w:w="2880"/>
          </w:tcPr>
          <w:p>
            <w:r>
              <w:rPr>
                <w:sz w:val="17"/>
              </w:rPr>
              <w:t>ISO Class 6 (Fire Resistive): $0.08 per $100. ISO Class 5 (Modified FR): $0.10 per $100. ISO Class 4 (Non-Combustible): $0.12 per $100. ISO Class 3 (Masonry Non-Combustible): $0.15 per $100. ISO Class 2 (Joisted Masonry): $0.20 per $100. ISO Class 1 (Frame): $0.28 per $100. These are base rates before ILF, schedule credits, and CAT loads.</w:t>
            </w:r>
          </w:p>
        </w:tc>
      </w:tr>
      <w:tr>
        <w:tc>
          <w:tcPr>
            <w:tcW w:type="dxa" w:w="2880"/>
          </w:tcPr>
          <w:p>
            <w:r>
              <w:rPr>
                <w:sz w:val="17"/>
              </w:rPr>
              <w:t>P-702</w:t>
            </w:r>
          </w:p>
        </w:tc>
        <w:tc>
          <w:tcPr>
            <w:tcW w:type="dxa" w:w="2880"/>
          </w:tcPr>
          <w:p>
            <w:r>
              <w:rPr>
                <w:sz w:val="17"/>
              </w:rPr>
              <w:t>Loss-Driven Surcharges</w:t>
            </w:r>
          </w:p>
        </w:tc>
        <w:tc>
          <w:tcPr>
            <w:tcW w:type="dxa" w:w="2880"/>
          </w:tcPr>
          <w:p>
            <w:r>
              <w:rPr>
                <w:sz w:val="17"/>
              </w:rPr>
              <w:t>Apply surcharge when 5-year loss ratio exceeds 40%: Loss ratio 40-50%: +10% surcharge. Loss ratio 50-60%: +20% surcharge. Loss ratio 60-70%: +35% surcharge. Loss ratio &gt; 70%: +50% surcharge or decline per P-301. Surcharges are cumulative with all other rating modifications.</w:t>
            </w:r>
          </w:p>
        </w:tc>
      </w:tr>
      <w:tr>
        <w:tc>
          <w:tcPr>
            <w:tcW w:type="dxa" w:w="2880"/>
          </w:tcPr>
          <w:p>
            <w:r>
              <w:rPr>
                <w:sz w:val="17"/>
              </w:rPr>
              <w:t>P-703</w:t>
            </w:r>
          </w:p>
        </w:tc>
        <w:tc>
          <w:tcPr>
            <w:tcW w:type="dxa" w:w="2880"/>
          </w:tcPr>
          <w:p>
            <w:r>
              <w:rPr>
                <w:sz w:val="17"/>
              </w:rPr>
              <w:t>Schedule Rating Limits</w:t>
            </w:r>
          </w:p>
        </w:tc>
        <w:tc>
          <w:tcPr>
            <w:tcW w:type="dxa" w:w="2880"/>
          </w:tcPr>
          <w:p>
            <w:r>
              <w:rPr>
                <w:sz w:val="17"/>
              </w:rPr>
              <w:t>Maximum schedule credit: -25% (requires documented justification for each factor). Maximum schedule debit: +50%. Schedule rating factors: construction (+/-5%), occupancy (+/-5%), protection (+/-10%), maintenance (+/-5%), management (+/-5%), loss history (+/-15%). Net schedule modification must be within -25% to +50% range.</w:t>
            </w:r>
          </w:p>
        </w:tc>
      </w:tr>
      <w:tr>
        <w:tc>
          <w:tcPr>
            <w:tcW w:type="dxa" w:w="2880"/>
          </w:tcPr>
          <w:p>
            <w:r>
              <w:rPr>
                <w:sz w:val="17"/>
              </w:rPr>
              <w:t>P-704</w:t>
            </w:r>
          </w:p>
        </w:tc>
        <w:tc>
          <w:tcPr>
            <w:tcW w:type="dxa" w:w="2880"/>
          </w:tcPr>
          <w:p>
            <w:r>
              <w:rPr>
                <w:sz w:val="17"/>
              </w:rPr>
              <w:t>Catastrophe Load Requirements</w:t>
            </w:r>
          </w:p>
        </w:tc>
        <w:tc>
          <w:tcPr>
            <w:tcW w:type="dxa" w:w="2880"/>
          </w:tcPr>
          <w:p>
            <w:r>
              <w:rPr>
                <w:sz w:val="17"/>
              </w:rPr>
              <w:t>Hurricane-exposed risks: Apply RMS/AIR modeled AAL as minimum CAT load. Earthquake-exposed risks: Apply USGS PGA-based load table. Minimum CAT load: $500 per $1M of TIV in any CAT zone. CAT load is added to base rate and is not subject to schedule credits.</w:t>
            </w:r>
          </w:p>
        </w:tc>
      </w:tr>
      <w:tr>
        <w:tc>
          <w:tcPr>
            <w:tcW w:type="dxa" w:w="2880"/>
          </w:tcPr>
          <w:p>
            <w:r>
              <w:rPr>
                <w:sz w:val="17"/>
              </w:rPr>
              <w:t>P-705</w:t>
            </w:r>
          </w:p>
        </w:tc>
        <w:tc>
          <w:tcPr>
            <w:tcW w:type="dxa" w:w="2880"/>
          </w:tcPr>
          <w:p>
            <w:r>
              <w:rPr>
                <w:sz w:val="17"/>
              </w:rPr>
              <w:t>Minimum Premium</w:t>
            </w:r>
          </w:p>
        </w:tc>
        <w:tc>
          <w:tcPr>
            <w:tcW w:type="dxa" w:w="2880"/>
          </w:tcPr>
          <w:p>
            <w:r>
              <w:rPr>
                <w:sz w:val="17"/>
              </w:rPr>
              <w:t>All new commercial property policies: minimum annual premium $2,500. Accounts with TIV &gt; $10M: minimum annual premium $10,000. Accounts with TIV &gt; $50M: minimum annual premium $25,000. Minimum premium is the greater of the calculated premium or these floors.</w:t>
            </w:r>
          </w:p>
        </w:tc>
      </w:tr>
      <w:tr>
        <w:tc>
          <w:tcPr>
            <w:tcW w:type="dxa" w:w="2880"/>
          </w:tcPr>
          <w:p>
            <w:r>
              <w:rPr>
                <w:sz w:val="17"/>
              </w:rPr>
              <w:t>P-706</w:t>
            </w:r>
          </w:p>
        </w:tc>
        <w:tc>
          <w:tcPr>
            <w:tcW w:type="dxa" w:w="2880"/>
          </w:tcPr>
          <w:p>
            <w:r>
              <w:rPr>
                <w:sz w:val="17"/>
              </w:rPr>
              <w:t>Renewal Pricing Discipline</w:t>
            </w:r>
          </w:p>
        </w:tc>
        <w:tc>
          <w:tcPr>
            <w:tcW w:type="dxa" w:w="2880"/>
          </w:tcPr>
          <w:p>
            <w:r>
              <w:rPr>
                <w:sz w:val="17"/>
              </w:rPr>
              <w:t>Maximum renewal rate decrease: -10% without VP approval, -15% with VP approval. Rate decreases &gt; 15% require Regional UW Manager approval. No rate decreases permitted if 3-year loss ratio &gt; 50% for the account. Minimum renewal rate increase when loss ratio &gt; 60%: +10% mandatory.</w:t>
            </w:r>
          </w:p>
        </w:tc>
      </w:tr>
    </w:tbl>
    <w:p/>
    <w:p/>
    <w:p>
      <w:r>
        <w:rPr>
          <w:i/>
          <w:color w:val="64748B"/>
          <w:sz w:val="16"/>
        </w:rPr>
        <w:t>AIG Commercial Property Underwriting Guidelines v4.2 | Effective 01/01/2026 | Supersedes all prior versions. These guidelines are proprietary and confidential. Distribution outside AIG is strictly prohibited.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