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05B"/>
        </w:rPr>
        <w:t>Workers' Compensation Underwriting Guidelines</w:t>
      </w:r>
    </w:p>
    <w:p>
      <w:r>
        <w:rPr>
          <w:color w:val="64748B"/>
          <w:sz w:val="20"/>
        </w:rPr>
        <w:t>AIG North America  |  Effective: January 1, 2026  |  Version 3.8</w:t>
        <w:br/>
        <w:t>Classification: INTERNAL USE ONLY  |  Approved by: Head of Casualty Underwriting</w:t>
      </w:r>
    </w:p>
    <w:p/>
    <w:p>
      <w:pPr>
        <w:spacing w:after="120"/>
      </w:pPr>
      <w:r>
        <w:rPr>
          <w:b/>
          <w:color w:val="334155"/>
          <w:sz w:val="20"/>
        </w:rPr>
        <w:t>These guidelines establish the minimum underwriting standards for all workers' compensation risks written on AIG paper, including guaranteed cost, loss-sensitive, and retrospectively rated programs. Compliance is mandatory for all underwriters and deviations require documented approval from the Casualty Line Leader or above.</w:t>
      </w:r>
    </w:p>
    <w:p>
      <w:r>
        <w:br w:type="page"/>
      </w:r>
    </w:p>
    <w:p>
      <w:pPr>
        <w:pStyle w:val="Heading1"/>
      </w:pPr>
      <w:r>
        <w:rPr>
          <w:color w:val="00205B"/>
        </w:rPr>
        <w:t>SECTION 1: RISK SELECTION</w:t>
      </w:r>
    </w:p>
    <w:p>
      <w:pPr>
        <w:spacing w:after="120"/>
      </w:pPr>
      <w:r>
        <w:rPr>
          <w:b w:val="0"/>
          <w:color w:val="334155"/>
          <w:sz w:val="20"/>
        </w:rPr>
        <w:t>AIG maintains a defined appetite for workers' compensation risks. The following rules govern risk selection, prohibited classes, and minimum eligibility requirements.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WC-101</w:t>
            </w:r>
          </w:p>
        </w:tc>
        <w:tc>
          <w:tcPr>
            <w:tcW w:type="dxa" w:w="2880"/>
          </w:tcPr>
          <w:p>
            <w:r>
              <w:rPr>
                <w:sz w:val="17"/>
              </w:rPr>
              <w:t>Acceptable Industry Classes</w:t>
            </w:r>
          </w:p>
        </w:tc>
        <w:tc>
          <w:tcPr>
            <w:tcW w:type="dxa" w:w="2880"/>
          </w:tcPr>
          <w:p>
            <w:r>
              <w:rPr>
                <w:sz w:val="17"/>
              </w:rPr>
              <w:t>Acceptable: Professional services (NAICS 54), Finance/Insurance (NAICS 52), Wholesale trade (NAICS 42), Light manufacturing (NAICS 31-33 excluding heavy metals/chemicals), Technology (NAICS 51), Healthcare - non-acute (NAICS 621). Acceptable with restrictions: Construction (NAICS 23) - see WC-102, Transportation (NAICS 48-49) - max 500 drivers.</w:t>
            </w:r>
          </w:p>
        </w:tc>
      </w:tr>
      <w:tr>
        <w:tc>
          <w:tcPr>
            <w:tcW w:type="dxa" w:w="2880"/>
          </w:tcPr>
          <w:p>
            <w:r>
              <w:rPr>
                <w:sz w:val="17"/>
              </w:rPr>
              <w:t>WC-102</w:t>
            </w:r>
          </w:p>
        </w:tc>
        <w:tc>
          <w:tcPr>
            <w:tcW w:type="dxa" w:w="2880"/>
          </w:tcPr>
          <w:p>
            <w:r>
              <w:rPr>
                <w:sz w:val="17"/>
              </w:rPr>
              <w:t>Prohibited Class Codes</w:t>
            </w:r>
          </w:p>
        </w:tc>
        <w:tc>
          <w:tcPr>
            <w:tcW w:type="dxa" w:w="2880"/>
          </w:tcPr>
          <w:p>
            <w:r>
              <w:rPr>
                <w:sz w:val="17"/>
              </w:rPr>
              <w:t>Auto-decline the following NCCI class codes: 7720 (Underground Mining), 1624 (Quarry Operations), 2702 (Logging/Lumbering), 6251 (Tunneling), 7360 (Carnival/Circus Operations), 3081 (Foundry - Iron), 1463 (Asbestos Contractor), 7403 (Aviation - Commercial Pilot). Any class code with national loss ratio &gt; 100% over last 5 years: refer to Line Leader.</w:t>
            </w:r>
          </w:p>
        </w:tc>
      </w:tr>
      <w:tr>
        <w:tc>
          <w:tcPr>
            <w:tcW w:type="dxa" w:w="2880"/>
          </w:tcPr>
          <w:p>
            <w:r>
              <w:rPr>
                <w:sz w:val="17"/>
              </w:rPr>
              <w:t>WC-103</w:t>
            </w:r>
          </w:p>
        </w:tc>
        <w:tc>
          <w:tcPr>
            <w:tcW w:type="dxa" w:w="2880"/>
          </w:tcPr>
          <w:p>
            <w:r>
              <w:rPr>
                <w:sz w:val="17"/>
              </w:rPr>
              <w:t>New Venture Restrictions</w:t>
            </w:r>
          </w:p>
        </w:tc>
        <w:tc>
          <w:tcPr>
            <w:tcW w:type="dxa" w:w="2880"/>
          </w:tcPr>
          <w:p>
            <w:r>
              <w:rPr>
                <w:sz w:val="17"/>
              </w:rPr>
              <w:t>Businesses operating &lt; 3 years: maximum $100,000 annual premium. Businesses operating &lt; 1 year: decline unless (1) principals have 10+ years industry experience documented, (2) written safety program in place at inception, and (3) EMR is not available (use 1.00 assumption with +15% surcharge). No new ventures in prohibited class codes under any circumstances.</w:t>
            </w:r>
          </w:p>
        </w:tc>
      </w:tr>
      <w:tr>
        <w:tc>
          <w:tcPr>
            <w:tcW w:type="dxa" w:w="2880"/>
          </w:tcPr>
          <w:p>
            <w:r>
              <w:rPr>
                <w:sz w:val="17"/>
              </w:rPr>
              <w:t>WC-104</w:t>
            </w:r>
          </w:p>
        </w:tc>
        <w:tc>
          <w:tcPr>
            <w:tcW w:type="dxa" w:w="2880"/>
          </w:tcPr>
          <w:p>
            <w:r>
              <w:rPr>
                <w:sz w:val="17"/>
              </w:rPr>
              <w:t>Financial Stability Requirements</w:t>
            </w:r>
          </w:p>
        </w:tc>
        <w:tc>
          <w:tcPr>
            <w:tcW w:type="dxa" w:w="2880"/>
          </w:tcPr>
          <w:p>
            <w:r>
              <w:rPr>
                <w:sz w:val="17"/>
              </w:rPr>
              <w:t>Standard premium &gt; $100,000: D&amp;B Composite Credit Score &gt;= 50 or equivalent. Standard premium &gt; $250,000: audited financial statements required. Standard premium &gt; $500,000: minimum 1.2 current ratio and 0.8 debt-to-equity maximum. Companies with active bankruptcy proceedings: decline.</w:t>
            </w:r>
          </w:p>
        </w:tc>
      </w:tr>
      <w:tr>
        <w:tc>
          <w:tcPr>
            <w:tcW w:type="dxa" w:w="2880"/>
          </w:tcPr>
          <w:p>
            <w:r>
              <w:rPr>
                <w:sz w:val="17"/>
              </w:rPr>
              <w:t>WC-105</w:t>
            </w:r>
          </w:p>
        </w:tc>
        <w:tc>
          <w:tcPr>
            <w:tcW w:type="dxa" w:w="2880"/>
          </w:tcPr>
          <w:p>
            <w:r>
              <w:rPr>
                <w:sz w:val="17"/>
              </w:rPr>
              <w:t>Minimum Premium Requirements</w:t>
            </w:r>
          </w:p>
        </w:tc>
        <w:tc>
          <w:tcPr>
            <w:tcW w:type="dxa" w:w="2880"/>
          </w:tcPr>
          <w:p>
            <w:r>
              <w:rPr>
                <w:sz w:val="17"/>
              </w:rPr>
              <w:t>Guaranteed cost: minimum annual premium $5,000 or applicable state minimum, whichever is greater. Large deductible program: minimum $250,000 standard premium. Retrospectively rated program: minimum $250,000 standard premium (see Section 3).</w:t>
            </w:r>
          </w:p>
        </w:tc>
      </w:tr>
      <w:tr>
        <w:tc>
          <w:tcPr>
            <w:tcW w:type="dxa" w:w="2880"/>
          </w:tcPr>
          <w:p>
            <w:r>
              <w:rPr>
                <w:sz w:val="17"/>
              </w:rPr>
              <w:t>WC-106</w:t>
            </w:r>
          </w:p>
        </w:tc>
        <w:tc>
          <w:tcPr>
            <w:tcW w:type="dxa" w:w="2880"/>
          </w:tcPr>
          <w:p>
            <w:r>
              <w:rPr>
                <w:sz w:val="17"/>
              </w:rPr>
              <w:t>Multi-Year Policy Restrictions</w:t>
            </w:r>
          </w:p>
        </w:tc>
        <w:tc>
          <w:tcPr>
            <w:tcW w:type="dxa" w:w="2880"/>
          </w:tcPr>
          <w:p>
            <w:r>
              <w:rPr>
                <w:sz w:val="17"/>
              </w:rPr>
              <w:t>Maximum policy term: 1 year for new business. Renewal accounts with 3+ year tenure and loss ratio &lt; 50%: eligible for 3-year rate guarantee. No multi-year policies for any account with EMR &gt; 1.20 or loss ratio &gt; 65%.</w:t>
            </w:r>
          </w:p>
        </w:tc>
      </w:tr>
    </w:tbl>
    <w:p/>
    <w:p>
      <w:pPr>
        <w:pStyle w:val="Heading1"/>
      </w:pPr>
      <w:r>
        <w:rPr>
          <w:color w:val="00205B"/>
        </w:rPr>
        <w:t>SECTION 2: EXPERIENCE MODIFICATION</w:t>
      </w:r>
    </w:p>
    <w:p>
      <w:pPr>
        <w:spacing w:after="120"/>
      </w:pPr>
      <w:r>
        <w:rPr>
          <w:b w:val="0"/>
          <w:color w:val="334155"/>
          <w:sz w:val="20"/>
        </w:rPr>
        <w:t>The Experience Modification Rate (EMR) is the primary indicator of a risk's relative loss performance. AIG uses EMR thresholds tiered by premium size to account for the credibility of the modification factor.</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WC-201</w:t>
            </w:r>
          </w:p>
        </w:tc>
        <w:tc>
          <w:tcPr>
            <w:tcW w:type="dxa" w:w="2880"/>
          </w:tcPr>
          <w:p>
            <w:r>
              <w:rPr>
                <w:sz w:val="17"/>
              </w:rPr>
              <w:t>EMR Acceptability by Premium Size</w:t>
            </w:r>
          </w:p>
        </w:tc>
        <w:tc>
          <w:tcPr>
            <w:tcW w:type="dxa" w:w="2880"/>
          </w:tcPr>
          <w:p>
            <w:r>
              <w:rPr>
                <w:sz w:val="17"/>
              </w:rPr>
              <w:t>Small accounts (standard premium &lt; $100K): Accept if EMR &lt;= 1.25. Refer if EMR 1.26-1.40. Decline if EMR &gt; 1.40. Medium accounts ($100K-$500K): Accept if EMR &lt;= 1.35. Refer if EMR 1.36-1.60. Decline if EMR &gt; 1.60. Large accounts (&gt; $500K): Accept if EMR &lt;= 1.50. Refer if EMR 1.51-1.75. Decline if EMR &gt; 1.75.</w:t>
            </w:r>
          </w:p>
        </w:tc>
      </w:tr>
      <w:tr>
        <w:tc>
          <w:tcPr>
            <w:tcW w:type="dxa" w:w="2880"/>
          </w:tcPr>
          <w:p>
            <w:r>
              <w:rPr>
                <w:sz w:val="17"/>
              </w:rPr>
              <w:t>WC-202</w:t>
            </w:r>
          </w:p>
        </w:tc>
        <w:tc>
          <w:tcPr>
            <w:tcW w:type="dxa" w:w="2880"/>
          </w:tcPr>
          <w:p>
            <w:r>
              <w:rPr>
                <w:sz w:val="17"/>
              </w:rPr>
              <w:t>EMR Trend Analysis</w:t>
            </w:r>
          </w:p>
        </w:tc>
        <w:tc>
          <w:tcPr>
            <w:tcW w:type="dxa" w:w="2880"/>
          </w:tcPr>
          <w:p>
            <w:r>
              <w:rPr>
                <w:sz w:val="17"/>
              </w:rPr>
              <w:t>Obtain 3-year EMR history for all accounts. Decline if EMR has increased in each of the last 3 consecutive years AND current EMR exceeds the accept threshold in WC-201. Exception: documented corrective safety measures implemented within last 12 months may be considered for referral rather than decline.</w:t>
            </w:r>
          </w:p>
        </w:tc>
      </w:tr>
      <w:tr>
        <w:tc>
          <w:tcPr>
            <w:tcW w:type="dxa" w:w="2880"/>
          </w:tcPr>
          <w:p>
            <w:r>
              <w:rPr>
                <w:sz w:val="17"/>
              </w:rPr>
              <w:t>WC-203</w:t>
            </w:r>
          </w:p>
        </w:tc>
        <w:tc>
          <w:tcPr>
            <w:tcW w:type="dxa" w:w="2880"/>
          </w:tcPr>
          <w:p>
            <w:r>
              <w:rPr>
                <w:sz w:val="17"/>
              </w:rPr>
              <w:t>Auto-Decline EMR Thresholds</w:t>
            </w:r>
          </w:p>
        </w:tc>
        <w:tc>
          <w:tcPr>
            <w:tcW w:type="dxa" w:w="2880"/>
          </w:tcPr>
          <w:p>
            <w:r>
              <w:rPr>
                <w:sz w:val="17"/>
              </w:rPr>
              <w:t>Automatically decline any risk with EMR &gt; 2.00 regardless of premium size. Automatically decline any risk with EMR &gt; 1.50 in prohibited-adjacent class codes (any class code within the same 3-digit classification group as a prohibited code). No exceptions without written approval from VP of Casualty.</w:t>
            </w:r>
          </w:p>
        </w:tc>
      </w:tr>
      <w:tr>
        <w:tc>
          <w:tcPr>
            <w:tcW w:type="dxa" w:w="2880"/>
          </w:tcPr>
          <w:p>
            <w:r>
              <w:rPr>
                <w:sz w:val="17"/>
              </w:rPr>
              <w:t>WC-204</w:t>
            </w:r>
          </w:p>
        </w:tc>
        <w:tc>
          <w:tcPr>
            <w:tcW w:type="dxa" w:w="2880"/>
          </w:tcPr>
          <w:p>
            <w:r>
              <w:rPr>
                <w:sz w:val="17"/>
              </w:rPr>
              <w:t>Interstate EMR Considerations</w:t>
            </w:r>
          </w:p>
        </w:tc>
        <w:tc>
          <w:tcPr>
            <w:tcW w:type="dxa" w:w="2880"/>
          </w:tcPr>
          <w:p>
            <w:r>
              <w:rPr>
                <w:sz w:val="17"/>
              </w:rPr>
              <w:t>For multi-state risks, evaluate the Interstate EMR (if available) as primary indicator. If state-specific EMRs vary by more than 0.30 from the interstate mod, evaluate each state independently and apply the highest state EMR for underwriting threshold purposes under WC-201.</w:t>
            </w:r>
          </w:p>
        </w:tc>
      </w:tr>
      <w:tr>
        <w:tc>
          <w:tcPr>
            <w:tcW w:type="dxa" w:w="2880"/>
          </w:tcPr>
          <w:p>
            <w:r>
              <w:rPr>
                <w:sz w:val="17"/>
              </w:rPr>
              <w:t>WC-205</w:t>
            </w:r>
          </w:p>
        </w:tc>
        <w:tc>
          <w:tcPr>
            <w:tcW w:type="dxa" w:w="2880"/>
          </w:tcPr>
          <w:p>
            <w:r>
              <w:rPr>
                <w:sz w:val="17"/>
              </w:rPr>
              <w:t>EMR Not Available</w:t>
            </w:r>
          </w:p>
        </w:tc>
        <w:tc>
          <w:tcPr>
            <w:tcW w:type="dxa" w:w="2880"/>
          </w:tcPr>
          <w:p>
            <w:r>
              <w:rPr>
                <w:sz w:val="17"/>
              </w:rPr>
              <w:t>When EMR is not available (new ventures, insufficient premium volume): Assume EMR of 1.00 for pricing purposes. Apply +15% new venture surcharge. Require loss runs from prior carrier(s) for any experience period available. If no prior WC coverage existed, require written explanation and evidence of prior compliance with state WC requirements.</w:t>
            </w:r>
          </w:p>
        </w:tc>
      </w:tr>
    </w:tbl>
    <w:p/>
    <w:p>
      <w:r>
        <w:br w:type="page"/>
      </w:r>
    </w:p>
    <w:p>
      <w:pPr>
        <w:pStyle w:val="Heading1"/>
      </w:pPr>
      <w:r>
        <w:rPr>
          <w:color w:val="00205B"/>
        </w:rPr>
        <w:t>SECTION 3: RETROSPECTIVE RATING</w:t>
      </w:r>
    </w:p>
    <w:p>
      <w:pPr>
        <w:spacing w:after="120"/>
      </w:pPr>
      <w:r>
        <w:rPr>
          <w:b w:val="0"/>
          <w:color w:val="334155"/>
          <w:sz w:val="20"/>
        </w:rPr>
        <w:t>Retrospectively rated programs are available for qualified risks meeting premium and financial requirements. These guidelines establish minimum program parameters and collateral standards.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WC-301</w:t>
            </w:r>
          </w:p>
        </w:tc>
        <w:tc>
          <w:tcPr>
            <w:tcW w:type="dxa" w:w="2880"/>
          </w:tcPr>
          <w:p>
            <w:r>
              <w:rPr>
                <w:sz w:val="17"/>
              </w:rPr>
              <w:t>Eligibility Requirements</w:t>
            </w:r>
          </w:p>
        </w:tc>
        <w:tc>
          <w:tcPr>
            <w:tcW w:type="dxa" w:w="2880"/>
          </w:tcPr>
          <w:p>
            <w:r>
              <w:rPr>
                <w:sz w:val="17"/>
              </w:rPr>
              <w:t>Minimum standard premium: $250,000 annual. Minimum years in business: 5. EMR must be &lt;= 1.20. Loss ratio (5-year average) must be &lt;= 60%. D&amp;B Composite Credit Score &gt;= 60 or audited financials demonstrating adequate liquidity. Insured must have dedicated risk management staff or retained safety consultant.</w:t>
            </w:r>
          </w:p>
        </w:tc>
      </w:tr>
      <w:tr>
        <w:tc>
          <w:tcPr>
            <w:tcW w:type="dxa" w:w="2880"/>
          </w:tcPr>
          <w:p>
            <w:r>
              <w:rPr>
                <w:sz w:val="17"/>
              </w:rPr>
              <w:t>WC-302</w:t>
            </w:r>
          </w:p>
        </w:tc>
        <w:tc>
          <w:tcPr>
            <w:tcW w:type="dxa" w:w="2880"/>
          </w:tcPr>
          <w:p>
            <w:r>
              <w:rPr>
                <w:sz w:val="17"/>
              </w:rPr>
              <w:t>Maximum/Minimum Premium Factors</w:t>
            </w:r>
          </w:p>
        </w:tc>
        <w:tc>
          <w:tcPr>
            <w:tcW w:type="dxa" w:w="2880"/>
          </w:tcPr>
          <w:p>
            <w:r>
              <w:rPr>
                <w:sz w:val="17"/>
              </w:rPr>
              <w:t>Minimum premium factor: Not less than 0.45 (45% of standard premium). Maximum premium factor: Standard is 1.50 (150% of standard premium). For accounts with premium &gt; $1M: max factor negotiable to 2.00 with collateral. Swing range (max - min) must not exceed 1.20 for accounts &lt; $500K standard premium.</w:t>
            </w:r>
          </w:p>
        </w:tc>
      </w:tr>
      <w:tr>
        <w:tc>
          <w:tcPr>
            <w:tcW w:type="dxa" w:w="2880"/>
          </w:tcPr>
          <w:p>
            <w:r>
              <w:rPr>
                <w:sz w:val="17"/>
              </w:rPr>
              <w:t>WC-303</w:t>
            </w:r>
          </w:p>
        </w:tc>
        <w:tc>
          <w:tcPr>
            <w:tcW w:type="dxa" w:w="2880"/>
          </w:tcPr>
          <w:p>
            <w:r>
              <w:rPr>
                <w:sz w:val="17"/>
              </w:rPr>
              <w:t>Collateral Requirements</w:t>
            </w:r>
          </w:p>
        </w:tc>
        <w:tc>
          <w:tcPr>
            <w:tcW w:type="dxa" w:w="2880"/>
          </w:tcPr>
          <w:p>
            <w:r>
              <w:rPr>
                <w:sz w:val="17"/>
              </w:rPr>
              <w:t>Cash collateral or irrevocable letter of credit required for all retro programs. Minimum collateral: estimated outstanding losses + 50% of unearned premium factor swing. Collateral must be posted within 30 days of binding. Failure to post collateral within 60 days: convert to guaranteed cost at standard rates. Annual collateral review and adjustment at each retro adjustment date.</w:t>
            </w:r>
          </w:p>
        </w:tc>
      </w:tr>
      <w:tr>
        <w:tc>
          <w:tcPr>
            <w:tcW w:type="dxa" w:w="2880"/>
          </w:tcPr>
          <w:p>
            <w:r>
              <w:rPr>
                <w:sz w:val="17"/>
              </w:rPr>
              <w:t>WC-304</w:t>
            </w:r>
          </w:p>
        </w:tc>
        <w:tc>
          <w:tcPr>
            <w:tcW w:type="dxa" w:w="2880"/>
          </w:tcPr>
          <w:p>
            <w:r>
              <w:rPr>
                <w:sz w:val="17"/>
              </w:rPr>
              <w:t>Loss Conversion Factor (LCF) Standards</w:t>
            </w:r>
          </w:p>
        </w:tc>
        <w:tc>
          <w:tcPr>
            <w:tcW w:type="dxa" w:w="2880"/>
          </w:tcPr>
          <w:p>
            <w:r>
              <w:rPr>
                <w:sz w:val="17"/>
              </w:rPr>
              <w:t>Standard LCF: 1.12 for guaranteed cost equivalent. ALAE included in loss: LCF = 1.00 (allocated expense within loss limit). ALAE excluded from loss: LCF = 1.12 standard, 1.08 for accounts &gt; $1M premium. LCF is applied to limited losses before calculating the retro premium.</w:t>
            </w:r>
          </w:p>
        </w:tc>
      </w:tr>
      <w:tr>
        <w:tc>
          <w:tcPr>
            <w:tcW w:type="dxa" w:w="2880"/>
          </w:tcPr>
          <w:p>
            <w:r>
              <w:rPr>
                <w:sz w:val="17"/>
              </w:rPr>
              <w:t>WC-305</w:t>
            </w:r>
          </w:p>
        </w:tc>
        <w:tc>
          <w:tcPr>
            <w:tcW w:type="dxa" w:w="2880"/>
          </w:tcPr>
          <w:p>
            <w:r>
              <w:rPr>
                <w:sz w:val="17"/>
              </w:rPr>
              <w:t>Per-Occurrence Loss Limitations</w:t>
            </w:r>
          </w:p>
        </w:tc>
        <w:tc>
          <w:tcPr>
            <w:tcW w:type="dxa" w:w="2880"/>
          </w:tcPr>
          <w:p>
            <w:r>
              <w:rPr>
                <w:sz w:val="17"/>
              </w:rPr>
              <w:t>Standard per-occurrence limit: $250,000 for accounts with $250K-$500K premium. $350,000 for accounts with $500K-$1M premium. $500,000 for accounts with $1M-$2M premium. Negotiable above $500,000 for accounts with premium &gt; $2M. Unlimited loss inclusion requires VP approval and additional collateral.</w:t>
            </w:r>
          </w:p>
        </w:tc>
      </w:tr>
      <w:tr>
        <w:tc>
          <w:tcPr>
            <w:tcW w:type="dxa" w:w="2880"/>
          </w:tcPr>
          <w:p>
            <w:r>
              <w:rPr>
                <w:sz w:val="17"/>
              </w:rPr>
              <w:t>WC-306</w:t>
            </w:r>
          </w:p>
        </w:tc>
        <w:tc>
          <w:tcPr>
            <w:tcW w:type="dxa" w:w="2880"/>
          </w:tcPr>
          <w:p>
            <w:r>
              <w:rPr>
                <w:sz w:val="17"/>
              </w:rPr>
              <w:t>Retro Adjustment Schedule</w:t>
            </w:r>
          </w:p>
        </w:tc>
        <w:tc>
          <w:tcPr>
            <w:tcW w:type="dxa" w:w="2880"/>
          </w:tcPr>
          <w:p>
            <w:r>
              <w:rPr>
                <w:sz w:val="17"/>
              </w:rPr>
              <w:t>First adjustment: 18 months from policy inception. Subsequent adjustments: annually until closure. Maximum adjustment period: 6 years from policy expiration. Final close-out: 7 years from expiration or when all claims closed, whichever is first.</w:t>
            </w:r>
          </w:p>
        </w:tc>
      </w:tr>
    </w:tbl>
    <w:p/>
    <w:p>
      <w:pPr>
        <w:pStyle w:val="Heading1"/>
      </w:pPr>
      <w:r>
        <w:rPr>
          <w:color w:val="00205B"/>
        </w:rPr>
        <w:t>SECTION 4: SAFETY REQUIREMENTS</w:t>
      </w:r>
    </w:p>
    <w:p>
      <w:pPr>
        <w:spacing w:after="120"/>
      </w:pPr>
      <w:r>
        <w:rPr>
          <w:b w:val="0"/>
          <w:color w:val="334155"/>
          <w:sz w:val="20"/>
        </w:rPr>
        <w:t>AIG requires documented safety programs and performance standards for all workers' compensation risks. These requirements protect employees and demonstrate the insured's commitment to loss prevention.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WC-401</w:t>
            </w:r>
          </w:p>
        </w:tc>
        <w:tc>
          <w:tcPr>
            <w:tcW w:type="dxa" w:w="2880"/>
          </w:tcPr>
          <w:p>
            <w:r>
              <w:rPr>
                <w:sz w:val="17"/>
              </w:rPr>
              <w:t>Required Safety Programs by Industry</w:t>
            </w:r>
          </w:p>
        </w:tc>
        <w:tc>
          <w:tcPr>
            <w:tcW w:type="dxa" w:w="2880"/>
          </w:tcPr>
          <w:p>
            <w:r>
              <w:rPr>
                <w:sz w:val="17"/>
              </w:rPr>
              <w:t>Construction: Written safety program including fall protection, scaffolding, trenching/excavation, and confined space entry protocols per OSHA 29 CFR 1926. Manufacturing: Lock-out/tag-out, machine guarding, PPE, and hazard communication programs. Healthcare: Needlestick prevention, patient handling (lift equipment), and workplace violence programs. Transportation: Driver qualification, hours of service monitoring, vehicle maintenance, and MVR review program (annual for all drivers).</w:t>
            </w:r>
          </w:p>
        </w:tc>
      </w:tr>
      <w:tr>
        <w:tc>
          <w:tcPr>
            <w:tcW w:type="dxa" w:w="2880"/>
          </w:tcPr>
          <w:p>
            <w:r>
              <w:rPr>
                <w:sz w:val="17"/>
              </w:rPr>
              <w:t>WC-402</w:t>
            </w:r>
          </w:p>
        </w:tc>
        <w:tc>
          <w:tcPr>
            <w:tcW w:type="dxa" w:w="2880"/>
          </w:tcPr>
          <w:p>
            <w:r>
              <w:rPr>
                <w:sz w:val="17"/>
              </w:rPr>
              <w:t>OSHA Incident Rate Thresholds</w:t>
            </w:r>
          </w:p>
        </w:tc>
        <w:tc>
          <w:tcPr>
            <w:tcW w:type="dxa" w:w="2880"/>
          </w:tcPr>
          <w:p>
            <w:r>
              <w:rPr>
                <w:sz w:val="17"/>
              </w:rPr>
              <w:t>Total Recordable Incident Rate (TRIR): Decline if TRIR &gt; 2.0x the industry average published by BLS for the applicable NAICS code. Refer if TRIR &gt; 1.5x industry average. Days Away, Restricted, or Transferred (DART) rate: Decline if DART &gt; 2.0x industry average. Obtain 3-year OSHA 300A logs for all accounts with premium &gt; $50,000.</w:t>
            </w:r>
          </w:p>
        </w:tc>
      </w:tr>
      <w:tr>
        <w:tc>
          <w:tcPr>
            <w:tcW w:type="dxa" w:w="2880"/>
          </w:tcPr>
          <w:p>
            <w:r>
              <w:rPr>
                <w:sz w:val="17"/>
              </w:rPr>
              <w:t>WC-403</w:t>
            </w:r>
          </w:p>
        </w:tc>
        <w:tc>
          <w:tcPr>
            <w:tcW w:type="dxa" w:w="2880"/>
          </w:tcPr>
          <w:p>
            <w:r>
              <w:rPr>
                <w:sz w:val="17"/>
              </w:rPr>
              <w:t>Return-to-Work Program Standards</w:t>
            </w:r>
          </w:p>
        </w:tc>
        <w:tc>
          <w:tcPr>
            <w:tcW w:type="dxa" w:w="2880"/>
          </w:tcPr>
          <w:p>
            <w:r>
              <w:rPr>
                <w:sz w:val="17"/>
              </w:rPr>
              <w:t>All accounts with premium &gt; $100,000: must have written return-to-work (RTW) program. RTW program must include: modified duty job descriptions, maximum modified duty period (recommend 90 days), physician communication protocol, and employee notification procedures. Accounts without RTW program: apply +5% surcharge.</w:t>
            </w:r>
          </w:p>
        </w:tc>
      </w:tr>
      <w:tr>
        <w:tc>
          <w:tcPr>
            <w:tcW w:type="dxa" w:w="2880"/>
          </w:tcPr>
          <w:p>
            <w:r>
              <w:rPr>
                <w:sz w:val="17"/>
              </w:rPr>
              <w:t>WC-404</w:t>
            </w:r>
          </w:p>
        </w:tc>
        <w:tc>
          <w:tcPr>
            <w:tcW w:type="dxa" w:w="2880"/>
          </w:tcPr>
          <w:p>
            <w:r>
              <w:rPr>
                <w:sz w:val="17"/>
              </w:rPr>
              <w:t>Safety Inspection Requirements</w:t>
            </w:r>
          </w:p>
        </w:tc>
        <w:tc>
          <w:tcPr>
            <w:tcW w:type="dxa" w:w="2880"/>
          </w:tcPr>
          <w:p>
            <w:r>
              <w:rPr>
                <w:sz w:val="17"/>
              </w:rPr>
              <w:t>New business: Pre-bind loss control survey required for all accounts &gt; $150,000 premium. Renewal: Annual loss control survey for accounts &gt; $250,000 premium. Critical recommendations from loss control must be completed within 90 days or coverage may be non-renewed. Open critical recommendations at renewal: +10% surcharge.</w:t>
            </w:r>
          </w:p>
        </w:tc>
      </w:tr>
      <w:tr>
        <w:tc>
          <w:tcPr>
            <w:tcW w:type="dxa" w:w="2880"/>
          </w:tcPr>
          <w:p>
            <w:r>
              <w:rPr>
                <w:sz w:val="17"/>
              </w:rPr>
              <w:t>WC-405</w:t>
            </w:r>
          </w:p>
        </w:tc>
        <w:tc>
          <w:tcPr>
            <w:tcW w:type="dxa" w:w="2880"/>
          </w:tcPr>
          <w:p>
            <w:r>
              <w:rPr>
                <w:sz w:val="17"/>
              </w:rPr>
              <w:t>Drug and Alcohol Testing</w:t>
            </w:r>
          </w:p>
        </w:tc>
        <w:tc>
          <w:tcPr>
            <w:tcW w:type="dxa" w:w="2880"/>
          </w:tcPr>
          <w:p>
            <w:r>
              <w:rPr>
                <w:sz w:val="17"/>
              </w:rPr>
              <w:t>Construction (all class codes): Pre-employment and post-accident drug testing required. Transportation (all drivers): DOT-compliant random drug and alcohol testing required. All other industries: Pre-employment drug testing recommended. Accounts with substance abuse-related claims: mandatory testing program required.</w:t>
            </w:r>
          </w:p>
        </w:tc>
      </w:tr>
    </w:tbl>
    <w:p/>
    <w:p>
      <w:pPr>
        <w:pStyle w:val="Heading1"/>
      </w:pPr>
      <w:r>
        <w:rPr>
          <w:color w:val="00205B"/>
        </w:rPr>
        <w:t>SECTION 5: CLAIMS MANAGEMENT</w:t>
      </w:r>
    </w:p>
    <w:p>
      <w:pPr>
        <w:spacing w:after="120"/>
      </w:pPr>
      <w:r>
        <w:rPr>
          <w:b w:val="0"/>
          <w:color w:val="334155"/>
          <w:sz w:val="20"/>
        </w:rPr>
        <w:t>Effective claims management is critical to maintaining acceptable loss ratios and protecting injured workers. These standards apply to underwriting evaluation of an insured's claims performance.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WC-501</w:t>
            </w:r>
          </w:p>
        </w:tc>
        <w:tc>
          <w:tcPr>
            <w:tcW w:type="dxa" w:w="2880"/>
          </w:tcPr>
          <w:p>
            <w:r>
              <w:rPr>
                <w:sz w:val="17"/>
              </w:rPr>
              <w:t>Claim Frequency Thresholds</w:t>
            </w:r>
          </w:p>
        </w:tc>
        <w:tc>
          <w:tcPr>
            <w:tcW w:type="dxa" w:w="2880"/>
          </w:tcPr>
          <w:p>
            <w:r>
              <w:rPr>
                <w:sz w:val="17"/>
              </w:rPr>
              <w:t>Evaluate claim frequency per 100 FTEs. Decline if frequency &gt; 15 claims per 100 FTEs for office/professional classes. Decline if frequency &gt; 25 claims per 100 FTEs for light manufacturing/warehouse. Decline if frequency &gt; 35 claims per 100 FTEs for heavy manufacturing/construction. Frequency must show stable or declining trend over 3-year evaluation period.</w:t>
            </w:r>
          </w:p>
        </w:tc>
      </w:tr>
      <w:tr>
        <w:tc>
          <w:tcPr>
            <w:tcW w:type="dxa" w:w="2880"/>
          </w:tcPr>
          <w:p>
            <w:r>
              <w:rPr>
                <w:sz w:val="17"/>
              </w:rPr>
              <w:t>WC-502</w:t>
            </w:r>
          </w:p>
        </w:tc>
        <w:tc>
          <w:tcPr>
            <w:tcW w:type="dxa" w:w="2880"/>
          </w:tcPr>
          <w:p>
            <w:r>
              <w:rPr>
                <w:sz w:val="17"/>
              </w:rPr>
              <w:t>Serious Injury/Fatality (SIF) Review</w:t>
            </w:r>
          </w:p>
        </w:tc>
        <w:tc>
          <w:tcPr>
            <w:tcW w:type="dxa" w:w="2880"/>
          </w:tcPr>
          <w:p>
            <w:r>
              <w:rPr>
                <w:sz w:val="17"/>
              </w:rPr>
              <w:t>Any account with 1 or more fatalities in the last 5 years: mandatory referral to VP of Casualty. Any account with 2+ permanent total disability claims in 5 years: decline unless corrective actions documented and verified by AIG Loss Control. All SIF claims must have OSHA investigation report on file before quoting.</w:t>
            </w:r>
          </w:p>
        </w:tc>
      </w:tr>
      <w:tr>
        <w:tc>
          <w:tcPr>
            <w:tcW w:type="dxa" w:w="2880"/>
          </w:tcPr>
          <w:p>
            <w:r>
              <w:rPr>
                <w:sz w:val="17"/>
              </w:rPr>
              <w:t>WC-503</w:t>
            </w:r>
          </w:p>
        </w:tc>
        <w:tc>
          <w:tcPr>
            <w:tcW w:type="dxa" w:w="2880"/>
          </w:tcPr>
          <w:p>
            <w:r>
              <w:rPr>
                <w:sz w:val="17"/>
              </w:rPr>
              <w:t>Subrogation Protocols</w:t>
            </w:r>
          </w:p>
        </w:tc>
        <w:tc>
          <w:tcPr>
            <w:tcW w:type="dxa" w:w="2880"/>
          </w:tcPr>
          <w:p>
            <w:r>
              <w:rPr>
                <w:sz w:val="17"/>
              </w:rPr>
              <w:t>All claims with potential third-party liability: subrogation investigation required within 30 days of claim notification. Minimum subrogation recovery target: 8% of total incurred for construction risks, 5% for manufacturing, 3% for all others. Subrogation performance is factored into renewal pricing as a credit (up to -5%).</w:t>
            </w:r>
          </w:p>
        </w:tc>
      </w:tr>
      <w:tr>
        <w:tc>
          <w:tcPr>
            <w:tcW w:type="dxa" w:w="2880"/>
          </w:tcPr>
          <w:p>
            <w:r>
              <w:rPr>
                <w:sz w:val="17"/>
              </w:rPr>
              <w:t>WC-504</w:t>
            </w:r>
          </w:p>
        </w:tc>
        <w:tc>
          <w:tcPr>
            <w:tcW w:type="dxa" w:w="2880"/>
          </w:tcPr>
          <w:p>
            <w:r>
              <w:rPr>
                <w:sz w:val="17"/>
              </w:rPr>
              <w:t>Medical Cost Containment</w:t>
            </w:r>
          </w:p>
        </w:tc>
        <w:tc>
          <w:tcPr>
            <w:tcW w:type="dxa" w:w="2880"/>
          </w:tcPr>
          <w:p>
            <w:r>
              <w:rPr>
                <w:sz w:val="17"/>
              </w:rPr>
              <w:t>All accounts must utilize AIG Preferred Provider Organization (PPO) network where available. Utilization review required for all inpatient stays and surgical procedures. Pharmacy benefit management program mandatory for all claims with prescription costs exceeding $2,500. Evaluate insured's medical cost per claim vs. industry benchmark.</w:t>
            </w:r>
          </w:p>
        </w:tc>
      </w:tr>
      <w:tr>
        <w:tc>
          <w:tcPr>
            <w:tcW w:type="dxa" w:w="2880"/>
          </w:tcPr>
          <w:p>
            <w:r>
              <w:rPr>
                <w:sz w:val="17"/>
              </w:rPr>
              <w:t>WC-505</w:t>
            </w:r>
          </w:p>
        </w:tc>
        <w:tc>
          <w:tcPr>
            <w:tcW w:type="dxa" w:w="2880"/>
          </w:tcPr>
          <w:p>
            <w:r>
              <w:rPr>
                <w:sz w:val="17"/>
              </w:rPr>
              <w:t>Litigation Rate Analysis</w:t>
            </w:r>
          </w:p>
        </w:tc>
        <w:tc>
          <w:tcPr>
            <w:tcW w:type="dxa" w:w="2880"/>
          </w:tcPr>
          <w:p>
            <w:r>
              <w:rPr>
                <w:sz w:val="17"/>
              </w:rPr>
              <w:t>Maximum acceptable attorney involvement rate: 20% of total claims. If litigation rate &gt; 30%: require written action plan from insured and apply +8% surcharge. If litigation rate &gt; 40%: decline or non-renew. Evaluate jurisdiction-specific litigation trends and defense costs.</w:t>
            </w:r>
          </w:p>
        </w:tc>
      </w:tr>
    </w:tbl>
    <w:p/>
    <w:p>
      <w:r>
        <w:br w:type="page"/>
      </w:r>
    </w:p>
    <w:p>
      <w:pPr>
        <w:pStyle w:val="Heading1"/>
      </w:pPr>
      <w:r>
        <w:rPr>
          <w:color w:val="00205B"/>
        </w:rPr>
        <w:t>SECTION 6: MULTI-STATE OPERATIONS</w:t>
      </w:r>
    </w:p>
    <w:p>
      <w:pPr>
        <w:spacing w:after="120"/>
      </w:pPr>
      <w:r>
        <w:rPr>
          <w:b w:val="0"/>
          <w:color w:val="334155"/>
          <w:sz w:val="20"/>
        </w:rPr>
        <w:t>Workers' compensation is state-regulated with significant jurisdictional variation. These guidelines address multi-state complexities, monopolistic state requirements, and federal program considerations.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WC-601</w:t>
            </w:r>
          </w:p>
        </w:tc>
        <w:tc>
          <w:tcPr>
            <w:tcW w:type="dxa" w:w="2880"/>
          </w:tcPr>
          <w:p>
            <w:r>
              <w:rPr>
                <w:sz w:val="17"/>
              </w:rPr>
              <w:t>Monopolistic State Handling</w:t>
            </w:r>
          </w:p>
        </w:tc>
        <w:tc>
          <w:tcPr>
            <w:tcW w:type="dxa" w:w="2880"/>
          </w:tcPr>
          <w:p>
            <w:r>
              <w:rPr>
                <w:sz w:val="17"/>
              </w:rPr>
              <w:t>Ohio, North Dakota, Washington, and Wyoming are monopolistic states where WC coverage must be obtained from the state fund. AIG cannot write primary WC in these states. Stop-gap / Employers Liability coverage: Available via endorsement on the master policy. Stop-gap limit: match EL limits on the master policy, minimum $500,000 each accident.</w:t>
            </w:r>
          </w:p>
        </w:tc>
      </w:tr>
      <w:tr>
        <w:tc>
          <w:tcPr>
            <w:tcW w:type="dxa" w:w="2880"/>
          </w:tcPr>
          <w:p>
            <w:r>
              <w:rPr>
                <w:sz w:val="17"/>
              </w:rPr>
              <w:t>WC-602</w:t>
            </w:r>
          </w:p>
        </w:tc>
        <w:tc>
          <w:tcPr>
            <w:tcW w:type="dxa" w:w="2880"/>
          </w:tcPr>
          <w:p>
            <w:r>
              <w:rPr>
                <w:sz w:val="17"/>
              </w:rPr>
              <w:t>United States Longshore &amp; Harbor Workers (USL&amp;H)</w:t>
            </w:r>
          </w:p>
        </w:tc>
        <w:tc>
          <w:tcPr>
            <w:tcW w:type="dxa" w:w="2880"/>
          </w:tcPr>
          <w:p>
            <w:r>
              <w:rPr>
                <w:sz w:val="17"/>
              </w:rPr>
              <w:t>USL&amp;H coverage required for all employees working on or over navigable waters per 33 USC 901-950. Minimum USL&amp;H limits: $1,000,000 each accident / $1,000,000 disease-policy limit / $1,000,000 disease-each employee. Maritime employers must also carry Jones Act coverage (separate quotation required). USL&amp;H class code surcharge: +25% above state standard premium rates.</w:t>
            </w:r>
          </w:p>
        </w:tc>
      </w:tr>
      <w:tr>
        <w:tc>
          <w:tcPr>
            <w:tcW w:type="dxa" w:w="2880"/>
          </w:tcPr>
          <w:p>
            <w:r>
              <w:rPr>
                <w:sz w:val="17"/>
              </w:rPr>
              <w:t>WC-603</w:t>
            </w:r>
          </w:p>
        </w:tc>
        <w:tc>
          <w:tcPr>
            <w:tcW w:type="dxa" w:w="2880"/>
          </w:tcPr>
          <w:p>
            <w:r>
              <w:rPr>
                <w:sz w:val="17"/>
              </w:rPr>
              <w:t>Foreign Voluntary Workers' Compensation</w:t>
            </w:r>
          </w:p>
        </w:tc>
        <w:tc>
          <w:tcPr>
            <w:tcW w:type="dxa" w:w="2880"/>
          </w:tcPr>
          <w:p>
            <w:r>
              <w:rPr>
                <w:sz w:val="17"/>
              </w:rPr>
              <w:t>Available for U.S. employees temporarily working abroad (&lt; 180 days per assignment). Territory: Worldwide excluding sanctioned countries (see current OFAC SDN list). Coverage limit: $1,000,000 per accident. Repatriation expense: $250,000 sublimit. Endemic disease: $100,000 sublimit. War risk and terrorism: excluded. Employees permanently assigned overseas: separate expat program required.</w:t>
            </w:r>
          </w:p>
        </w:tc>
      </w:tr>
      <w:tr>
        <w:tc>
          <w:tcPr>
            <w:tcW w:type="dxa" w:w="2880"/>
          </w:tcPr>
          <w:p>
            <w:r>
              <w:rPr>
                <w:sz w:val="17"/>
              </w:rPr>
              <w:t>WC-604</w:t>
            </w:r>
          </w:p>
        </w:tc>
        <w:tc>
          <w:tcPr>
            <w:tcW w:type="dxa" w:w="2880"/>
          </w:tcPr>
          <w:p>
            <w:r>
              <w:rPr>
                <w:sz w:val="17"/>
              </w:rPr>
              <w:t>Federal Programs</w:t>
            </w:r>
          </w:p>
        </w:tc>
        <w:tc>
          <w:tcPr>
            <w:tcW w:type="dxa" w:w="2880"/>
          </w:tcPr>
          <w:p>
            <w:r>
              <w:rPr>
                <w:sz w:val="17"/>
              </w:rPr>
              <w:t>Federal Employees' Compensation Act (FECA): Not available on AIG paper. Defense Base Act (DBA): Available for government contractors; separate quotation. Federal Coal Mine Safety Act: Decline all submissions. Nuclear Workers: Decline all submissions (refer to AIG Nuclear pool).</w:t>
            </w:r>
          </w:p>
        </w:tc>
      </w:tr>
      <w:tr>
        <w:tc>
          <w:tcPr>
            <w:tcW w:type="dxa" w:w="2880"/>
          </w:tcPr>
          <w:p>
            <w:r>
              <w:rPr>
                <w:sz w:val="17"/>
              </w:rPr>
              <w:t>WC-605</w:t>
            </w:r>
          </w:p>
        </w:tc>
        <w:tc>
          <w:tcPr>
            <w:tcW w:type="dxa" w:w="2880"/>
          </w:tcPr>
          <w:p>
            <w:r>
              <w:rPr>
                <w:sz w:val="17"/>
              </w:rPr>
              <w:t>State-Specific Underwriting Alerts</w:t>
            </w:r>
          </w:p>
        </w:tc>
        <w:tc>
          <w:tcPr>
            <w:tcW w:type="dxa" w:w="2880"/>
          </w:tcPr>
          <w:p>
            <w:r>
              <w:rPr>
                <w:sz w:val="17"/>
              </w:rPr>
              <w:t>California: Require quarterly payroll reporting for all accounts &gt; $200K premium. New York: Apply NY Construction Employment Act requirements for GC/sub relationships. Florida: Construction class codes require proof of subcontractor WC certificates. Illinois: Medical fee schedule changes effective 07/01/2026 - adjust reserves accordingly. Pennsylvania: Uninsured employer fund surcharge of 3% applies.</w:t>
            </w:r>
          </w:p>
        </w:tc>
      </w:tr>
    </w:tbl>
    <w:p/>
    <w:p>
      <w:pPr>
        <w:pStyle w:val="Heading1"/>
      </w:pPr>
      <w:r>
        <w:rPr>
          <w:color w:val="00205B"/>
        </w:rPr>
        <w:t>SECTION 7: PRICING STANDARDS</w:t>
      </w:r>
    </w:p>
    <w:p>
      <w:pPr>
        <w:spacing w:after="120"/>
      </w:pPr>
      <w:r>
        <w:rPr>
          <w:b w:val="0"/>
          <w:color w:val="334155"/>
          <w:sz w:val="20"/>
        </w:rPr>
        <w:t>Workers' compensation pricing must comply with state-filed rates and rating plans. These standards ensure consistent application of available rating modifications.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WC-701</w:t>
            </w:r>
          </w:p>
        </w:tc>
        <w:tc>
          <w:tcPr>
            <w:tcW w:type="dxa" w:w="2880"/>
          </w:tcPr>
          <w:p>
            <w:r>
              <w:rPr>
                <w:sz w:val="17"/>
              </w:rPr>
              <w:t>Minimum Premium by State</w:t>
            </w:r>
          </w:p>
        </w:tc>
        <w:tc>
          <w:tcPr>
            <w:tcW w:type="dxa" w:w="2880"/>
          </w:tcPr>
          <w:p>
            <w:r>
              <w:rPr>
                <w:sz w:val="17"/>
              </w:rPr>
              <w:t>Apply the greater of: (1) state-filed minimum premium for each applicable class code, or (2) AIG minimum premium of $5,000 per state. Multi-state policies: minimum premium applies to each state individually. If total policy premium &lt; $10,000 across all states: decline (below AIG minimum threshold).</w:t>
            </w:r>
          </w:p>
        </w:tc>
      </w:tr>
      <w:tr>
        <w:tc>
          <w:tcPr>
            <w:tcW w:type="dxa" w:w="2880"/>
          </w:tcPr>
          <w:p>
            <w:r>
              <w:rPr>
                <w:sz w:val="17"/>
              </w:rPr>
              <w:t>WC-702</w:t>
            </w:r>
          </w:p>
        </w:tc>
        <w:tc>
          <w:tcPr>
            <w:tcW w:type="dxa" w:w="2880"/>
          </w:tcPr>
          <w:p>
            <w:r>
              <w:rPr>
                <w:sz w:val="17"/>
              </w:rPr>
              <w:t>Schedule Rating Credit Limits</w:t>
            </w:r>
          </w:p>
        </w:tc>
        <w:tc>
          <w:tcPr>
            <w:tcW w:type="dxa" w:w="2880"/>
          </w:tcPr>
          <w:p>
            <w:r>
              <w:rPr>
                <w:sz w:val="17"/>
              </w:rPr>
              <w:t>Maximum schedule credit: per state-filed schedule rating plan (typically -25% to -40%). AIG internal maximum: -25% without Line Leader approval, -35% with Line Leader approval. Credits exceeding state maximum: prohibited under all circumstances. All schedule credits must be documented with specific loss control justification for each credit category (premises, classification, management, safety, etc.).</w:t>
            </w:r>
          </w:p>
        </w:tc>
      </w:tr>
      <w:tr>
        <w:tc>
          <w:tcPr>
            <w:tcW w:type="dxa" w:w="2880"/>
          </w:tcPr>
          <w:p>
            <w:r>
              <w:rPr>
                <w:sz w:val="17"/>
              </w:rPr>
              <w:t>WC-703</w:t>
            </w:r>
          </w:p>
        </w:tc>
        <w:tc>
          <w:tcPr>
            <w:tcW w:type="dxa" w:w="2880"/>
          </w:tcPr>
          <w:p>
            <w:r>
              <w:rPr>
                <w:sz w:val="17"/>
              </w:rPr>
              <w:t>Premium Discount Tables</w:t>
            </w:r>
          </w:p>
        </w:tc>
        <w:tc>
          <w:tcPr>
            <w:tcW w:type="dxa" w:w="2880"/>
          </w:tcPr>
          <w:p>
            <w:r>
              <w:rPr>
                <w:sz w:val="17"/>
              </w:rPr>
              <w:t>Apply NCCI or state-specific premium discount for eligible accounts: $5,000-$10,000 premium: 5.5% discount. $10,001-$100,000: 9.0% discount. $100,001-$500,000: 11.5% discount. $500,001-$1,000,000: 13.0% discount. $1,000,001+: 14.0% discount. Premium discount is applied after experience rating and schedule rating modifications.</w:t>
            </w:r>
          </w:p>
        </w:tc>
      </w:tr>
      <w:tr>
        <w:tc>
          <w:tcPr>
            <w:tcW w:type="dxa" w:w="2880"/>
          </w:tcPr>
          <w:p>
            <w:r>
              <w:rPr>
                <w:sz w:val="17"/>
              </w:rPr>
              <w:t>WC-704</w:t>
            </w:r>
          </w:p>
        </w:tc>
        <w:tc>
          <w:tcPr>
            <w:tcW w:type="dxa" w:w="2880"/>
          </w:tcPr>
          <w:p>
            <w:r>
              <w:rPr>
                <w:sz w:val="17"/>
              </w:rPr>
              <w:t>Expense Constant</w:t>
            </w:r>
          </w:p>
        </w:tc>
        <w:tc>
          <w:tcPr>
            <w:tcW w:type="dxa" w:w="2880"/>
          </w:tcPr>
          <w:p>
            <w:r>
              <w:rPr>
                <w:sz w:val="17"/>
              </w:rPr>
              <w:t>Apply state-filed expense constant to all policies. Standard NCCI expense constant: $250 per policy. State-specific expense constants vary; use applicable state filing. Expense constant is not subject to experience modification or schedule rating.</w:t>
            </w:r>
          </w:p>
        </w:tc>
      </w:tr>
      <w:tr>
        <w:tc>
          <w:tcPr>
            <w:tcW w:type="dxa" w:w="2880"/>
          </w:tcPr>
          <w:p>
            <w:r>
              <w:rPr>
                <w:sz w:val="17"/>
              </w:rPr>
              <w:t>WC-705</w:t>
            </w:r>
          </w:p>
        </w:tc>
        <w:tc>
          <w:tcPr>
            <w:tcW w:type="dxa" w:w="2880"/>
          </w:tcPr>
          <w:p>
            <w:r>
              <w:rPr>
                <w:sz w:val="17"/>
              </w:rPr>
              <w:t>Retrospective Rating Premium Tax Multiplier</w:t>
            </w:r>
          </w:p>
        </w:tc>
        <w:tc>
          <w:tcPr>
            <w:tcW w:type="dxa" w:w="2880"/>
          </w:tcPr>
          <w:p>
            <w:r>
              <w:rPr>
                <w:sz w:val="17"/>
              </w:rPr>
              <w:t>Apply state-specific premium tax multiplier to all retro premium computations. Standard multiplier range: 1.03 to 1.07 depending on state. Include assessment factors, second-injury fund surcharges, and other state surcharges in the tax multiplier. Update annually per state filing.</w:t>
            </w:r>
          </w:p>
        </w:tc>
      </w:tr>
      <w:tr>
        <w:tc>
          <w:tcPr>
            <w:tcW w:type="dxa" w:w="2880"/>
          </w:tcPr>
          <w:p>
            <w:r>
              <w:rPr>
                <w:sz w:val="17"/>
              </w:rPr>
              <w:t>WC-706</w:t>
            </w:r>
          </w:p>
        </w:tc>
        <w:tc>
          <w:tcPr>
            <w:tcW w:type="dxa" w:w="2880"/>
          </w:tcPr>
          <w:p>
            <w:r>
              <w:rPr>
                <w:sz w:val="17"/>
              </w:rPr>
              <w:t>Renewal Rate Cap</w:t>
            </w:r>
          </w:p>
        </w:tc>
        <w:tc>
          <w:tcPr>
            <w:tcW w:type="dxa" w:w="2880"/>
          </w:tcPr>
          <w:p>
            <w:r>
              <w:rPr>
                <w:sz w:val="17"/>
              </w:rPr>
              <w:t>Guaranteed cost renewals: maximum +15% rate increase without documented loss justification. Rate increases &gt; 25% require 60-day advance notice and VP approval. No rate decreases permitted if 3-year loss ratio &gt; 70% for the account. Rate decreases &gt; 10% require written justification filed in underwriting workbook.</w:t>
            </w:r>
          </w:p>
        </w:tc>
      </w:tr>
    </w:tbl>
    <w:p/>
    <w:p/>
    <w:p>
      <w:r>
        <w:rPr>
          <w:i/>
          <w:color w:val="64748B"/>
          <w:sz w:val="16"/>
        </w:rPr>
        <w:t>AIG Workers' Compensation Underwriting Guidelines v3.8 | Effective 01/01/2026 | Supersedes all prior versions. These guidelines are proprietary and confidential. Distribution outside AIG is strictly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