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205B"/>
        </w:rPr>
        <w:t>Endorsement Package</w:t>
      </w:r>
    </w:p>
    <w:p>
      <w:r>
        <w:rPr>
          <w:color w:val="64748B"/>
          <w:sz w:val="20"/>
        </w:rPr>
        <w:t>Wind &amp; Hail Coverage — Amended Terms</w:t>
        <w:br/>
        <w:t>Policy: AIG-CPP-2026-04871  |  Insured: Meridian Steel Corporation</w:t>
        <w:br/>
        <w:t>Effective: 03/01/2026</w:t>
      </w:r>
    </w:p>
    <w:p/>
    <w:p>
      <w:pPr>
        <w:pStyle w:val="Heading2"/>
      </w:pPr>
      <w:r>
        <w:rPr>
          <w:color w:val="00205B"/>
        </w:rPr>
        <w:t>Endorsement AIG-WH-001: Wind/Hail Percentage Deductible</w:t>
      </w:r>
    </w:p>
    <w:p>
      <w:pPr>
        <w:spacing w:after="120"/>
      </w:pPr>
      <w:r>
        <w:rPr>
          <w:b w:val="0"/>
          <w:color w:val="334155"/>
          <w:sz w:val="20"/>
        </w:rPr>
        <w:t>This endorsement modifies the Commercial Property Coverage Form to which it is attached.</w:t>
      </w:r>
    </w:p>
    <w:p>
      <w:pPr>
        <w:spacing w:after="120"/>
      </w:pPr>
      <w:r>
        <w:rPr>
          <w:b w:val="0"/>
          <w:color w:val="334155"/>
          <w:sz w:val="20"/>
        </w:rPr>
        <w:t>SCHEDULE: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00205B"/>
          </w:tcPr>
          <w:p>
            <w:pPr>
              <w:jc w:val="center"/>
            </w:pPr>
            <w:r>
              <w:rPr>
                <w:b/>
                <w:color w:val="FFFFFF"/>
                <w:sz w:val="18"/>
              </w:rPr>
              <w:t>Location</w:t>
            </w:r>
          </w:p>
        </w:tc>
        <w:tc>
          <w:tcPr>
            <w:tcW w:type="dxa" w:w="2160"/>
            <w:shd w:fill="00205B"/>
          </w:tcPr>
          <w:p>
            <w:pPr>
              <w:jc w:val="center"/>
            </w:pPr>
            <w:r>
              <w:rPr>
                <w:b/>
                <w:color w:val="FFFFFF"/>
                <w:sz w:val="18"/>
              </w:rPr>
              <w:t>Wind Tier</w:t>
            </w:r>
          </w:p>
        </w:tc>
        <w:tc>
          <w:tcPr>
            <w:tcW w:type="dxa" w:w="2160"/>
            <w:shd w:fill="00205B"/>
          </w:tcPr>
          <w:p>
            <w:pPr>
              <w:jc w:val="center"/>
            </w:pPr>
            <w:r>
              <w:rPr>
                <w:b/>
                <w:color w:val="FFFFFF"/>
                <w:sz w:val="18"/>
              </w:rPr>
              <w:t>Deductible %</w:t>
            </w:r>
          </w:p>
        </w:tc>
        <w:tc>
          <w:tcPr>
            <w:tcW w:type="dxa" w:w="2160"/>
            <w:shd w:fill="00205B"/>
          </w:tcPr>
          <w:p>
            <w:pPr>
              <w:jc w:val="center"/>
            </w:pPr>
            <w:r>
              <w:rPr>
                <w:b/>
                <w:color w:val="FFFFFF"/>
                <w:sz w:val="18"/>
              </w:rPr>
              <w:t>Minimum Deductible</w:t>
            </w:r>
          </w:p>
        </w:tc>
      </w:tr>
      <w:tr>
        <w:tc>
          <w:tcPr>
            <w:tcW w:type="dxa" w:w="2160"/>
          </w:tcPr>
          <w:p>
            <w:r>
              <w:rPr>
                <w:sz w:val="18"/>
              </w:rPr>
              <w:t>Loc 1 — Houston</w:t>
            </w:r>
          </w:p>
        </w:tc>
        <w:tc>
          <w:tcPr>
            <w:tcW w:type="dxa" w:w="2160"/>
          </w:tcPr>
          <w:p>
            <w:r>
              <w:rPr>
                <w:sz w:val="18"/>
              </w:rPr>
              <w:t>Tier 2</w:t>
            </w:r>
          </w:p>
        </w:tc>
        <w:tc>
          <w:tcPr>
            <w:tcW w:type="dxa" w:w="2160"/>
          </w:tcPr>
          <w:p>
            <w:r>
              <w:rPr>
                <w:sz w:val="18"/>
              </w:rPr>
              <w:t>2% of TIV at time of loss</w:t>
            </w:r>
          </w:p>
        </w:tc>
        <w:tc>
          <w:tcPr>
            <w:tcW w:type="dxa" w:w="2160"/>
          </w:tcPr>
          <w:p>
            <w:r>
              <w:rPr>
                <w:sz w:val="18"/>
              </w:rPr>
              <w:t>$250,000</w:t>
            </w:r>
          </w:p>
        </w:tc>
      </w:tr>
      <w:tr>
        <w:tc>
          <w:tcPr>
            <w:tcW w:type="dxa" w:w="2160"/>
          </w:tcPr>
          <w:p>
            <w:r>
              <w:rPr>
                <w:sz w:val="18"/>
              </w:rPr>
              <w:t>Loc 2 — Beaumont</w:t>
            </w:r>
          </w:p>
        </w:tc>
        <w:tc>
          <w:tcPr>
            <w:tcW w:type="dxa" w:w="2160"/>
          </w:tcPr>
          <w:p>
            <w:r>
              <w:rPr>
                <w:sz w:val="18"/>
              </w:rPr>
              <w:t>Tier 1</w:t>
            </w:r>
          </w:p>
        </w:tc>
        <w:tc>
          <w:tcPr>
            <w:tcW w:type="dxa" w:w="2160"/>
          </w:tcPr>
          <w:p>
            <w:r>
              <w:rPr>
                <w:sz w:val="18"/>
              </w:rPr>
              <w:t>5% of TIV at time of loss</w:t>
            </w:r>
          </w:p>
        </w:tc>
        <w:tc>
          <w:tcPr>
            <w:tcW w:type="dxa" w:w="2160"/>
          </w:tcPr>
          <w:p>
            <w:r>
              <w:rPr>
                <w:sz w:val="18"/>
              </w:rPr>
              <w:t>$500,000</w:t>
            </w:r>
          </w:p>
        </w:tc>
      </w:tr>
    </w:tbl>
    <w:p/>
    <w:p>
      <w:pPr>
        <w:pStyle w:val="Heading3"/>
      </w:pPr>
      <w:r>
        <w:rPr>
          <w:color w:val="00205B"/>
        </w:rPr>
        <w:t>A. Applicable Perils</w:t>
      </w:r>
    </w:p>
    <w:p>
      <w:pPr>
        <w:spacing w:after="120"/>
      </w:pPr>
      <w:r>
        <w:rPr>
          <w:b w:val="0"/>
          <w:color w:val="334155"/>
          <w:sz w:val="20"/>
        </w:rPr>
        <w:t>This percentage deductible applies to direct physical loss or damage caused by or resulting from wind, hurricane, tornado, hail, or windborne debris, including but not limited to: (1) the peril of windstorm or hail as defined in the policy; (2) storm surge, tidal wave, or flood directly caused by a named storm; and (3) loss or damage caused by rain, snow, sleet, or dust driven by wind through openings created by the covered peril.</w:t>
      </w:r>
    </w:p>
    <w:p>
      <w:pPr>
        <w:pStyle w:val="Heading3"/>
      </w:pPr>
      <w:r>
        <w:rPr>
          <w:color w:val="00205B"/>
        </w:rPr>
        <w:t>B. Deductible Calculation</w:t>
      </w:r>
    </w:p>
    <w:p>
      <w:pPr>
        <w:spacing w:after="120"/>
      </w:pPr>
      <w:r>
        <w:rPr>
          <w:b w:val="0"/>
          <w:color w:val="334155"/>
          <w:sz w:val="20"/>
        </w:rPr>
        <w:t>The deductible shall be calculated as the stated percentage of the Total Insured Value (TIV) at the affected location at the time of loss, as reported in the most recent Statement of Values on file with AIG. The deductible applies separately to each location and separately to each occurrence. In no event shall the deductible be less than the minimum deductible shown in the schedule above.</w:t>
      </w:r>
    </w:p>
    <w:p>
      <w:pPr>
        <w:pStyle w:val="Heading3"/>
      </w:pPr>
      <w:r>
        <w:rPr>
          <w:color w:val="00205B"/>
        </w:rPr>
        <w:t>C. Named Storm Definition</w:t>
      </w:r>
    </w:p>
    <w:p>
      <w:pPr>
        <w:spacing w:after="120"/>
      </w:pPr>
      <w:r>
        <w:rPr>
          <w:b w:val="0"/>
          <w:color w:val="334155"/>
          <w:sz w:val="20"/>
        </w:rPr>
        <w:t>For purposes of this endorsement, a "Named Storm" is any storm or weather disturbance that has been declared and named by the National Hurricane Center (NHC) or the National Weather Service (NWS) as a tropical depression, tropical storm, or hurricane. Named storm deductible shall apply beginning 48 hours prior to the issuance of a tropical storm warning for the area where the insured location is situated and ending 72 hours after the warning is lifted.</w:t>
      </w:r>
    </w:p>
    <w:p>
      <w:pPr>
        <w:pStyle w:val="Heading3"/>
      </w:pPr>
      <w:r>
        <w:rPr>
          <w:color w:val="00205B"/>
        </w:rPr>
        <w:t>D. Application to Business Income</w:t>
      </w:r>
    </w:p>
    <w:p>
      <w:pPr>
        <w:spacing w:after="120"/>
      </w:pPr>
      <w:r>
        <w:rPr>
          <w:b w:val="0"/>
          <w:color w:val="334155"/>
          <w:sz w:val="20"/>
        </w:rPr>
        <w:t>The percentage deductible also applies to any Business Income and Extra Expense loss resulting from the covered wind/hail peril. The Business Income waiting period specified in the Declarations page applies in addition to (not in lieu of) this percentage deductible.</w:t>
      </w:r>
    </w:p>
    <w:p>
      <w:pPr>
        <w:pStyle w:val="Heading3"/>
      </w:pPr>
      <w:r>
        <w:rPr>
          <w:color w:val="00205B"/>
        </w:rPr>
        <w:t>E. Anti-Concurrent Causation</w:t>
      </w:r>
    </w:p>
    <w:p>
      <w:pPr>
        <w:spacing w:after="120"/>
      </w:pPr>
      <w:r>
        <w:rPr>
          <w:b w:val="0"/>
          <w:color w:val="334155"/>
          <w:sz w:val="20"/>
        </w:rPr>
        <w:t>When a wind/hail loss occurs concurrently with a flood event (whether or not the flood is a covered peril), the loss shall be adjusted under this endorsement for the wind/hail component and under the flood provisions for the flood component. If the respective components cannot be separated, the entire loss shall be subject to the higher of the wind/hail or flood deductible.</w:t>
      </w:r>
    </w:p>
    <w:p>
      <w:r>
        <w:br w:type="page"/>
      </w:r>
    </w:p>
    <w:p>
      <w:pPr>
        <w:pStyle w:val="Heading2"/>
      </w:pPr>
      <w:r>
        <w:rPr>
          <w:color w:val="00205B"/>
        </w:rPr>
        <w:t>Endorsement AIG-WH-002: Windstorm Protective Safeguards</w:t>
      </w:r>
    </w:p>
    <w:p>
      <w:pPr>
        <w:spacing w:after="120"/>
      </w:pPr>
      <w:r>
        <w:rPr>
          <w:b w:val="0"/>
          <w:color w:val="334155"/>
          <w:sz w:val="20"/>
        </w:rPr>
        <w:t>This endorsement modifies the Commercial Property Coverage Form to which it is attached.</w:t>
      </w:r>
    </w:p>
    <w:p>
      <w:pPr>
        <w:spacing w:after="120"/>
      </w:pPr>
      <w:r>
        <w:rPr>
          <w:b/>
          <w:color w:val="334155"/>
          <w:sz w:val="20"/>
        </w:rPr>
        <w:t>As a condition of coverage, the Named Insured warrants compliance with the following windstorm protective safeguard requirements:</w:t>
      </w:r>
    </w:p>
    <w:p>
      <w:pPr>
        <w:spacing w:after="120"/>
      </w:pPr>
      <w:r>
        <w:rPr>
          <w:b w:val="0"/>
          <w:color w:val="334155"/>
          <w:sz w:val="20"/>
        </w:rPr>
        <w:t>1. HURRICANE PREPAREDNESS PLAN: The insured shall maintain a written Hurricane Preparedness Plan that is reviewed and updated annually no later than May 1st of each year. The plan shall include: (a) designation of a storm preparation team, (b) inventory of emergency supplies and materials, (c) procedures for securing or relocating high-value equipment and inventory, (d) communication protocol for employees and critical vendors, and (e) post-storm damage assessment procedures.</w:t>
      </w:r>
    </w:p>
    <w:p>
      <w:pPr>
        <w:spacing w:after="120"/>
      </w:pPr>
      <w:r>
        <w:rPr>
          <w:b w:val="0"/>
          <w:color w:val="334155"/>
          <w:sz w:val="20"/>
        </w:rPr>
        <w:t>2. ROOF MAINTENANCE: All roof systems shall be inspected by a licensed roofing contractor at least semi-annually (recommended: March and September). Inspection reports shall document: membrane condition, flashing integrity, fastener patterns, ponding water, and drainage capacity. Reports shall be retained for a minimum of 5 years and provided to AIG upon request.</w:t>
      </w:r>
    </w:p>
    <w:p>
      <w:pPr>
        <w:spacing w:after="120"/>
      </w:pPr>
      <w:r>
        <w:rPr>
          <w:b w:val="0"/>
          <w:color w:val="334155"/>
          <w:sz w:val="20"/>
        </w:rPr>
        <w:t>3. OPENING PROTECTION (LOCATION 2): All exterior openings at Location 2 (Beaumont, TX — Wind Tier 1) shall be protected by impact-resistant shutters or panels rated for minimum design wind speed of 130 mph per ASCE 7-22. Shutters shall be deployed and secured when the National Weather Service issues a Hurricane Watch for Jefferson County.</w:t>
      </w:r>
    </w:p>
    <w:p>
      <w:pPr>
        <w:spacing w:after="120"/>
      </w:pPr>
      <w:r>
        <w:rPr>
          <w:b w:val="0"/>
          <w:color w:val="334155"/>
          <w:sz w:val="20"/>
        </w:rPr>
        <w:t>4. BACKUP POWER: Emergency generators at all locations shall be tested monthly under load and serviced quarterly per manufacturer specifications. Fuel reserves shall be maintained at a minimum of 72 hours of continuous operation.</w:t>
      </w:r>
    </w:p>
    <w:p>
      <w:pPr>
        <w:spacing w:after="120"/>
      </w:pPr>
      <w:r>
        <w:rPr>
          <w:b w:val="0"/>
          <w:color w:val="334155"/>
          <w:sz w:val="20"/>
        </w:rPr>
        <w:t>5. TREE &amp; DEBRIS MANAGEMENT: Trees within 50 feet of any insured structure shall be trimmed annually to remove dead branches and reduce windborne debris exposure. All exterior materials and equipment shall be properly secured or stored inside when a Tropical Storm or Hurricane Warning is issued.</w:t>
      </w:r>
    </w:p>
    <w:p/>
    <w:p>
      <w:pPr>
        <w:spacing w:after="120"/>
      </w:pPr>
      <w:r>
        <w:rPr>
          <w:b/>
          <w:color w:val="334155"/>
          <w:sz w:val="20"/>
        </w:rPr>
        <w:t>IMPORTANT: Failure to comply with the above safeguards may result in denial of a wind/hail claim or a reduction in loss payment as determined by AIG at the time of loss adjustment.</w:t>
      </w:r>
    </w:p>
    <w:p>
      <w:r>
        <w:br w:type="page"/>
      </w:r>
    </w:p>
    <w:p>
      <w:pPr>
        <w:pStyle w:val="Heading2"/>
      </w:pPr>
      <w:r>
        <w:rPr>
          <w:color w:val="00205B"/>
        </w:rPr>
        <w:t>Endorsement AIG-WH-003: Storm Surge Buyback</w:t>
      </w:r>
    </w:p>
    <w:p>
      <w:pPr>
        <w:spacing w:after="120"/>
      </w:pPr>
      <w:r>
        <w:rPr>
          <w:b w:val="0"/>
          <w:color w:val="334155"/>
          <w:sz w:val="20"/>
        </w:rPr>
        <w:t>This endorsement amends the Water Exclusion in the underlying policy form.</w:t>
      </w:r>
    </w:p>
    <w:p/>
    <w:p>
      <w:pPr>
        <w:pStyle w:val="Heading3"/>
      </w:pPr>
      <w:r>
        <w:rPr>
          <w:color w:val="00205B"/>
        </w:rPr>
        <w:t>A. Coverage Provided</w:t>
      </w:r>
    </w:p>
    <w:p>
      <w:pPr>
        <w:spacing w:after="120"/>
      </w:pPr>
      <w:r>
        <w:rPr>
          <w:b w:val="0"/>
          <w:color w:val="334155"/>
          <w:sz w:val="20"/>
        </w:rPr>
        <w:t>Notwithstanding the Water Exclusion (Form CP 10 30 or equivalent) in the underlying policy, this endorsement provides limited coverage for storm surge as follows:</w:t>
      </w:r>
    </w:p>
    <w:p>
      <w:pPr>
        <w:spacing w:after="120"/>
      </w:pPr>
      <w:r>
        <w:rPr>
          <w:b w:val="0"/>
          <w:color w:val="334155"/>
          <w:sz w:val="20"/>
        </w:rPr>
        <w:t>Storm surge is defined as the abnormal rise of water generated by a Named Storm (as defined in Endorsement AIG-WH-001), over and above the predicted astronomical tide.</w:t>
      </w:r>
    </w:p>
    <w:tbl>
      <w:tblPr>
        <w:tblStyle w:val="TableGrid"/>
        <w:tblW w:type="auto" w:w="0"/>
        <w:tblLook w:firstColumn="1" w:firstRow="1" w:lastColumn="0" w:lastRow="0" w:noHBand="0" w:noVBand="1" w:val="04A0"/>
      </w:tblPr>
      <w:tblGrid>
        <w:gridCol w:w="2880"/>
        <w:gridCol w:w="2880"/>
        <w:gridCol w:w="2880"/>
      </w:tblGrid>
      <w:tr>
        <w:tc>
          <w:tcPr>
            <w:tcW w:type="dxa" w:w="2880"/>
            <w:shd w:fill="00205B"/>
          </w:tcPr>
          <w:p>
            <w:pPr>
              <w:jc w:val="center"/>
            </w:pPr>
            <w:r>
              <w:rPr>
                <w:b/>
                <w:color w:val="FFFFFF"/>
                <w:sz w:val="18"/>
              </w:rPr>
              <w:t>Location</w:t>
            </w:r>
          </w:p>
        </w:tc>
        <w:tc>
          <w:tcPr>
            <w:tcW w:type="dxa" w:w="2880"/>
            <w:shd w:fill="00205B"/>
          </w:tcPr>
          <w:p>
            <w:pPr>
              <w:jc w:val="center"/>
            </w:pPr>
            <w:r>
              <w:rPr>
                <w:b/>
                <w:color w:val="FFFFFF"/>
                <w:sz w:val="18"/>
              </w:rPr>
              <w:t>Storm Surge Limit</w:t>
            </w:r>
          </w:p>
        </w:tc>
        <w:tc>
          <w:tcPr>
            <w:tcW w:type="dxa" w:w="2880"/>
            <w:shd w:fill="00205B"/>
          </w:tcPr>
          <w:p>
            <w:pPr>
              <w:jc w:val="center"/>
            </w:pPr>
            <w:r>
              <w:rPr>
                <w:b/>
                <w:color w:val="FFFFFF"/>
                <w:sz w:val="18"/>
              </w:rPr>
              <w:t>Storm Surge Deductible</w:t>
            </w:r>
          </w:p>
        </w:tc>
      </w:tr>
      <w:tr>
        <w:tc>
          <w:tcPr>
            <w:tcW w:type="dxa" w:w="2880"/>
          </w:tcPr>
          <w:p>
            <w:r>
              <w:rPr>
                <w:sz w:val="18"/>
              </w:rPr>
              <w:t>Loc 1 — Houston</w:t>
            </w:r>
          </w:p>
        </w:tc>
        <w:tc>
          <w:tcPr>
            <w:tcW w:type="dxa" w:w="2880"/>
          </w:tcPr>
          <w:p>
            <w:r>
              <w:rPr>
                <w:sz w:val="18"/>
              </w:rPr>
              <w:t>$2,000,000</w:t>
            </w:r>
          </w:p>
        </w:tc>
        <w:tc>
          <w:tcPr>
            <w:tcW w:type="dxa" w:w="2880"/>
          </w:tcPr>
          <w:p>
            <w:r>
              <w:rPr>
                <w:sz w:val="18"/>
              </w:rPr>
              <w:t>$250,000</w:t>
            </w:r>
          </w:p>
        </w:tc>
      </w:tr>
      <w:tr>
        <w:tc>
          <w:tcPr>
            <w:tcW w:type="dxa" w:w="2880"/>
          </w:tcPr>
          <w:p>
            <w:r>
              <w:rPr>
                <w:sz w:val="18"/>
              </w:rPr>
              <w:t>Loc 2 — Beaumont</w:t>
            </w:r>
          </w:p>
        </w:tc>
        <w:tc>
          <w:tcPr>
            <w:tcW w:type="dxa" w:w="2880"/>
          </w:tcPr>
          <w:p>
            <w:r>
              <w:rPr>
                <w:sz w:val="18"/>
              </w:rPr>
              <w:t>$1,000,000</w:t>
            </w:r>
          </w:p>
        </w:tc>
        <w:tc>
          <w:tcPr>
            <w:tcW w:type="dxa" w:w="2880"/>
          </w:tcPr>
          <w:p>
            <w:r>
              <w:rPr>
                <w:sz w:val="18"/>
              </w:rPr>
              <w:t>$500,000</w:t>
            </w:r>
          </w:p>
        </w:tc>
      </w:tr>
    </w:tbl>
    <w:p/>
    <w:p>
      <w:pPr>
        <w:pStyle w:val="Heading3"/>
      </w:pPr>
      <w:r>
        <w:rPr>
          <w:color w:val="00205B"/>
        </w:rPr>
        <w:t>B. Exclusions</w:t>
      </w:r>
    </w:p>
    <w:p>
      <w:pPr>
        <w:spacing w:after="120"/>
      </w:pPr>
      <w:r>
        <w:rPr>
          <w:b w:val="0"/>
          <w:color w:val="334155"/>
          <w:sz w:val="20"/>
        </w:rPr>
        <w:t>This storm surge buyback does NOT cover:</w:t>
      </w:r>
    </w:p>
    <w:p>
      <w:pPr>
        <w:spacing w:after="120"/>
      </w:pPr>
      <w:r>
        <w:rPr>
          <w:b w:val="0"/>
          <w:color w:val="334155"/>
          <w:sz w:val="20"/>
        </w:rPr>
        <w:t>• Flooding from rivers, streams, lakes, or other bodies of fresh water, regardless of whether caused by a Named Storm.</w:t>
      </w:r>
    </w:p>
    <w:p>
      <w:pPr>
        <w:spacing w:after="120"/>
      </w:pPr>
      <w:r>
        <w:rPr>
          <w:b w:val="0"/>
          <w:color w:val="334155"/>
          <w:sz w:val="20"/>
        </w:rPr>
        <w:t>• Surface water runoff or accumulation of water from rainfall.</w:t>
      </w:r>
    </w:p>
    <w:p>
      <w:pPr>
        <w:spacing w:after="120"/>
      </w:pPr>
      <w:r>
        <w:rPr>
          <w:b w:val="0"/>
          <w:color w:val="334155"/>
          <w:sz w:val="20"/>
        </w:rPr>
        <w:t>• Mudflow, mudslide, or earth movement regardless of cause.</w:t>
      </w:r>
    </w:p>
    <w:p>
      <w:pPr>
        <w:spacing w:after="120"/>
      </w:pPr>
      <w:r>
        <w:rPr>
          <w:b w:val="0"/>
          <w:color w:val="334155"/>
          <w:sz w:val="20"/>
        </w:rPr>
        <w:t>• Water that backs up through sewers or drains.</w:t>
      </w:r>
    </w:p>
    <w:p>
      <w:pPr>
        <w:spacing w:after="120"/>
      </w:pPr>
      <w:r>
        <w:rPr>
          <w:b w:val="0"/>
          <w:color w:val="334155"/>
          <w:sz w:val="20"/>
        </w:rPr>
        <w:t>• Water below the surface of the ground, including water which exerts pressure on or seeps through foundations, walls, or floors.</w:t>
      </w:r>
    </w:p>
    <w:p>
      <w:pPr>
        <w:pStyle w:val="Heading3"/>
      </w:pPr>
      <w:r>
        <w:rPr>
          <w:color w:val="00205B"/>
        </w:rPr>
        <w:t>C. Additional Premium</w:t>
      </w:r>
    </w:p>
    <w:p>
      <w:pPr>
        <w:spacing w:after="120"/>
      </w:pPr>
      <w:r>
        <w:rPr>
          <w:b w:val="0"/>
          <w:color w:val="334155"/>
          <w:sz w:val="20"/>
        </w:rPr>
        <w:t>Annual Premium for Storm Surge Buyback: $12,500</w:t>
      </w:r>
    </w:p>
    <w:p>
      <w:pPr>
        <w:spacing w:after="120"/>
      </w:pPr>
      <w:r>
        <w:rPr>
          <w:b w:val="0"/>
          <w:color w:val="334155"/>
          <w:sz w:val="20"/>
        </w:rPr>
        <w:t>This premium is included in the total policy premium shown on the Declarations page.</w:t>
      </w:r>
    </w:p>
    <w:p/>
    <w:p>
      <w:r>
        <w:rPr>
          <w:b/>
          <w:color w:val="00205B"/>
          <w:sz w:val="20"/>
        </w:rPr>
        <w:t>ALL OTHER TERMS AND CONDITIONS REMAIN UNCHANGED.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